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D0D25" w14:textId="77777777" w:rsidR="00AE1EC4" w:rsidRDefault="00AE1EC4" w:rsidP="00BC539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14:paraId="07BE3969" w14:textId="77777777" w:rsidR="00474631" w:rsidRDefault="00474631" w:rsidP="00BC539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14:paraId="27AD1304" w14:textId="77777777" w:rsidR="007141F0" w:rsidRPr="00010A8A" w:rsidRDefault="007141F0" w:rsidP="00BC539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  <w:r w:rsidRPr="00010A8A">
        <w:rPr>
          <w:rFonts w:cs="Arial"/>
          <w:b/>
          <w:sz w:val="26"/>
          <w:szCs w:val="26"/>
        </w:rPr>
        <w:t xml:space="preserve">TGW </w:t>
      </w:r>
      <w:r w:rsidR="0016199C" w:rsidRPr="00010A8A">
        <w:rPr>
          <w:rFonts w:cs="Arial"/>
          <w:b/>
          <w:sz w:val="26"/>
          <w:szCs w:val="26"/>
        </w:rPr>
        <w:t>realisiert</w:t>
      </w:r>
      <w:r w:rsidR="00525ED3" w:rsidRPr="00010A8A">
        <w:rPr>
          <w:rFonts w:cs="Arial"/>
          <w:b/>
          <w:sz w:val="26"/>
          <w:szCs w:val="26"/>
        </w:rPr>
        <w:t xml:space="preserve"> für Skechers</w:t>
      </w:r>
      <w:r w:rsidR="0016199C" w:rsidRPr="00010A8A">
        <w:rPr>
          <w:rFonts w:cs="Arial"/>
          <w:b/>
          <w:sz w:val="26"/>
          <w:szCs w:val="26"/>
        </w:rPr>
        <w:t xml:space="preserve"> größtes Shuttle-System in China</w:t>
      </w:r>
    </w:p>
    <w:p w14:paraId="35BF37D3" w14:textId="77777777" w:rsidR="007141F0" w:rsidRPr="00D435FC" w:rsidRDefault="003E17B7" w:rsidP="00BC5399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jc w:val="both"/>
        <w:rPr>
          <w:rFonts w:cs="Arial"/>
          <w:sz w:val="22"/>
        </w:rPr>
      </w:pPr>
      <w:r w:rsidRPr="00D435FC">
        <w:rPr>
          <w:rFonts w:cs="Arial"/>
          <w:sz w:val="22"/>
        </w:rPr>
        <w:t>h</w:t>
      </w:r>
      <w:r w:rsidR="00E7361F" w:rsidRPr="00D435FC">
        <w:rPr>
          <w:rFonts w:cs="Arial"/>
          <w:sz w:val="22"/>
        </w:rPr>
        <w:t>öchstautomatisierte Intralogistik-Anlage in China</w:t>
      </w:r>
    </w:p>
    <w:p w14:paraId="03CD7C69" w14:textId="77777777" w:rsidR="007141F0" w:rsidRPr="00D435FC" w:rsidRDefault="00E7361F" w:rsidP="00BC5399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jc w:val="both"/>
        <w:rPr>
          <w:rFonts w:cs="Arial"/>
          <w:sz w:val="22"/>
        </w:rPr>
      </w:pPr>
      <w:r w:rsidRPr="00D435FC">
        <w:rPr>
          <w:rFonts w:cs="Arial"/>
          <w:sz w:val="22"/>
        </w:rPr>
        <w:t>Basis für die zentrale Auslieferung</w:t>
      </w:r>
      <w:r w:rsidR="00B5499E" w:rsidRPr="00D435FC">
        <w:rPr>
          <w:rFonts w:cs="Arial"/>
          <w:sz w:val="22"/>
        </w:rPr>
        <w:t xml:space="preserve"> für B2C und B2B</w:t>
      </w:r>
    </w:p>
    <w:p w14:paraId="7D2A8B0D" w14:textId="3C24F679" w:rsidR="00D435FC" w:rsidRPr="00D435FC" w:rsidRDefault="001F5042" w:rsidP="00D435FC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jc w:val="both"/>
        <w:rPr>
          <w:rFonts w:cs="Arial"/>
          <w:sz w:val="22"/>
        </w:rPr>
      </w:pPr>
      <w:r>
        <w:rPr>
          <w:rFonts w:cs="Arial"/>
          <w:sz w:val="22"/>
        </w:rPr>
        <w:t>z</w:t>
      </w:r>
      <w:r w:rsidR="0093403A">
        <w:rPr>
          <w:rFonts w:cs="Arial"/>
          <w:sz w:val="22"/>
        </w:rPr>
        <w:t xml:space="preserve">wölf </w:t>
      </w:r>
      <w:r w:rsidR="00F8550D">
        <w:rPr>
          <w:rFonts w:cs="Arial"/>
          <w:sz w:val="22"/>
        </w:rPr>
        <w:t>Kilometer en</w:t>
      </w:r>
      <w:r w:rsidR="0093403A">
        <w:rPr>
          <w:rFonts w:cs="Arial"/>
          <w:sz w:val="22"/>
        </w:rPr>
        <w:t>er</w:t>
      </w:r>
      <w:r w:rsidR="00F8550D">
        <w:rPr>
          <w:rFonts w:cs="Arial"/>
          <w:sz w:val="22"/>
        </w:rPr>
        <w:t>g</w:t>
      </w:r>
      <w:r w:rsidR="0093403A">
        <w:rPr>
          <w:rFonts w:cs="Arial"/>
          <w:sz w:val="22"/>
        </w:rPr>
        <w:t>ieeffiziente KingDrive</w:t>
      </w:r>
      <w:r w:rsidR="004712CF" w:rsidRPr="004712CF">
        <w:rPr>
          <w:rFonts w:cs="Arial"/>
          <w:sz w:val="22"/>
          <w:vertAlign w:val="superscript"/>
        </w:rPr>
        <w:t>®</w:t>
      </w:r>
      <w:r w:rsidR="0093403A">
        <w:rPr>
          <w:rFonts w:cs="Arial"/>
          <w:sz w:val="22"/>
        </w:rPr>
        <w:t>-Technologie</w:t>
      </w:r>
    </w:p>
    <w:p w14:paraId="642579CA" w14:textId="77777777" w:rsidR="000F039C" w:rsidRPr="00D7468F" w:rsidRDefault="000F039C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0CBE3532" w14:textId="77777777" w:rsidR="000F039C" w:rsidRPr="006D26CB" w:rsidRDefault="00BC5399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 w:rsidRPr="006D26C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Skechers ist einer der weltgrößten Produzenten von </w:t>
      </w:r>
      <w:r w:rsidR="00032B83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hochwertigen </w:t>
      </w:r>
      <w:r w:rsidRPr="006D26C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Schuhen und </w:t>
      </w:r>
      <w:r w:rsidR="003A42A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vor allem </w:t>
      </w:r>
      <w:r w:rsidR="007A56BA">
        <w:rPr>
          <w:rFonts w:ascii="Arial" w:eastAsiaTheme="minorHAnsi" w:hAnsi="Arial" w:cs="Arial"/>
          <w:b/>
          <w:sz w:val="20"/>
          <w:szCs w:val="20"/>
          <w:lang w:val="de-DE" w:eastAsia="en-US"/>
        </w:rPr>
        <w:t>in den</w:t>
      </w:r>
      <w:r w:rsidRPr="006D26C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Segment</w:t>
      </w:r>
      <w:r w:rsidR="003A42A1">
        <w:rPr>
          <w:rFonts w:ascii="Arial" w:eastAsiaTheme="minorHAnsi" w:hAnsi="Arial" w:cs="Arial"/>
          <w:b/>
          <w:sz w:val="20"/>
          <w:szCs w:val="20"/>
          <w:lang w:val="de-DE" w:eastAsia="en-US"/>
        </w:rPr>
        <w:t>e</w:t>
      </w:r>
      <w:r w:rsidR="007A56BA">
        <w:rPr>
          <w:rFonts w:ascii="Arial" w:eastAsiaTheme="minorHAnsi" w:hAnsi="Arial" w:cs="Arial"/>
          <w:b/>
          <w:sz w:val="20"/>
          <w:szCs w:val="20"/>
          <w:lang w:val="de-DE" w:eastAsia="en-US"/>
        </w:rPr>
        <w:t>n</w:t>
      </w:r>
      <w:r w:rsidR="003A42A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Sport,</w:t>
      </w:r>
      <w:r w:rsidRPr="006D26C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Lifestyle</w:t>
      </w:r>
      <w:r w:rsidR="003A42A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und Performance</w:t>
      </w:r>
      <w:r w:rsidR="007A56BA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vertreten</w:t>
      </w:r>
      <w:r w:rsidRPr="006D26CB">
        <w:rPr>
          <w:rFonts w:ascii="Arial" w:eastAsiaTheme="minorHAnsi" w:hAnsi="Arial" w:cs="Arial"/>
          <w:b/>
          <w:sz w:val="20"/>
          <w:szCs w:val="20"/>
          <w:lang w:val="de-DE" w:eastAsia="en-US"/>
        </w:rPr>
        <w:t>. Das 1992 gegründet</w:t>
      </w:r>
      <w:r w:rsidR="00BA602A">
        <w:rPr>
          <w:rFonts w:ascii="Arial" w:eastAsiaTheme="minorHAnsi" w:hAnsi="Arial" w:cs="Arial"/>
          <w:b/>
          <w:sz w:val="20"/>
          <w:szCs w:val="20"/>
          <w:lang w:val="de-DE" w:eastAsia="en-US"/>
        </w:rPr>
        <w:t>e Unternehmen mit</w:t>
      </w:r>
      <w:r w:rsidRPr="006D26C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Sitz in Kalifornien</w:t>
      </w:r>
      <w:r w:rsidR="008212ED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befindet sich </w:t>
      </w:r>
      <w:r w:rsidR="008E4DED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auch </w:t>
      </w:r>
      <w:r w:rsidR="00AA6526">
        <w:rPr>
          <w:rFonts w:ascii="Arial" w:eastAsiaTheme="minorHAnsi" w:hAnsi="Arial" w:cs="Arial"/>
          <w:b/>
          <w:sz w:val="20"/>
          <w:szCs w:val="20"/>
          <w:lang w:val="de-DE" w:eastAsia="en-US"/>
        </w:rPr>
        <w:t>am chinesischen Markt auf Wachstumskurs</w:t>
      </w:r>
      <w:r w:rsidR="00BF77FD">
        <w:rPr>
          <w:rFonts w:ascii="Arial" w:eastAsiaTheme="minorHAnsi" w:hAnsi="Arial" w:cs="Arial"/>
          <w:b/>
          <w:sz w:val="20"/>
          <w:szCs w:val="20"/>
          <w:lang w:val="de-DE" w:eastAsia="en-US"/>
        </w:rPr>
        <w:t>,</w:t>
      </w:r>
      <w:r w:rsidR="00421397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und richtet seine Intralogistik auf die</w:t>
      </w:r>
      <w:r w:rsidR="008E4DED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neuen Anforderungen aus</w:t>
      </w:r>
      <w:r w:rsidRPr="006D26CB">
        <w:rPr>
          <w:rFonts w:ascii="Arial" w:eastAsiaTheme="minorHAnsi" w:hAnsi="Arial" w:cs="Arial"/>
          <w:b/>
          <w:sz w:val="20"/>
          <w:szCs w:val="20"/>
          <w:lang w:val="de-DE" w:eastAsia="en-US"/>
        </w:rPr>
        <w:t>.</w:t>
      </w:r>
      <w:r w:rsidR="006D26C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Bei Shanghai </w:t>
      </w:r>
      <w:r w:rsidR="003A729A">
        <w:rPr>
          <w:rFonts w:ascii="Arial" w:eastAsiaTheme="minorHAnsi" w:hAnsi="Arial" w:cs="Arial"/>
          <w:b/>
          <w:sz w:val="20"/>
          <w:szCs w:val="20"/>
          <w:lang w:val="de-DE" w:eastAsia="en-US"/>
        </w:rPr>
        <w:t>errichtet TGW</w:t>
      </w:r>
      <w:r w:rsidR="006D26C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5A4203">
        <w:rPr>
          <w:rFonts w:ascii="Arial" w:eastAsiaTheme="minorHAnsi" w:hAnsi="Arial" w:cs="Arial"/>
          <w:b/>
          <w:sz w:val="20"/>
          <w:szCs w:val="20"/>
          <w:lang w:val="de-DE" w:eastAsia="en-US"/>
        </w:rPr>
        <w:t>daher</w:t>
      </w:r>
      <w:r w:rsidR="006D26C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ein neues, hoch</w:t>
      </w:r>
      <w:r w:rsidR="001F757E">
        <w:rPr>
          <w:rFonts w:ascii="Arial" w:eastAsiaTheme="minorHAnsi" w:hAnsi="Arial" w:cs="Arial"/>
          <w:b/>
          <w:sz w:val="20"/>
          <w:szCs w:val="20"/>
          <w:lang w:val="de-DE" w:eastAsia="en-US"/>
        </w:rPr>
        <w:t>automatisiertes Logistikzentrum</w:t>
      </w:r>
      <w:r w:rsidR="00BF77FD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für den Kunden</w:t>
      </w:r>
      <w:r w:rsidR="001F757E">
        <w:rPr>
          <w:rFonts w:ascii="Arial" w:eastAsiaTheme="minorHAnsi" w:hAnsi="Arial" w:cs="Arial"/>
          <w:b/>
          <w:sz w:val="20"/>
          <w:szCs w:val="20"/>
          <w:lang w:val="de-DE" w:eastAsia="en-US"/>
        </w:rPr>
        <w:t>:</w:t>
      </w:r>
      <w:r w:rsidR="008E40E0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der</w:t>
      </w:r>
      <w:r w:rsidRPr="006D26C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6D26CB" w:rsidRPr="006D26CB">
        <w:rPr>
          <w:rFonts w:ascii="Arial" w:eastAsiaTheme="minorHAnsi" w:hAnsi="Arial" w:cs="Arial"/>
          <w:b/>
          <w:sz w:val="20"/>
          <w:szCs w:val="20"/>
          <w:lang w:val="de-DE" w:eastAsia="en-US"/>
        </w:rPr>
        <w:t>Go-live ist für April 2020 geplant.</w:t>
      </w:r>
    </w:p>
    <w:p w14:paraId="780B6779" w14:textId="77777777" w:rsidR="00895AA0" w:rsidRDefault="00895AA0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88D8284" w14:textId="77777777" w:rsidR="00895AA0" w:rsidRDefault="00895AA0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Am chinesischen Markt setzt Skechers aktuell auf ein Netzwerk aus drei Distributionszentren. Bei </w:t>
      </w:r>
      <w:r w:rsidR="003504E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geplanten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Wachstumsraten von 20 Prozent </w:t>
      </w:r>
      <w:r w:rsidR="008471B8">
        <w:rPr>
          <w:rFonts w:ascii="Arial" w:eastAsiaTheme="minorHAnsi" w:hAnsi="Arial" w:cs="Arial"/>
          <w:sz w:val="20"/>
          <w:szCs w:val="20"/>
          <w:lang w:val="de-DE" w:eastAsia="en-US"/>
        </w:rPr>
        <w:t xml:space="preserve">und sich </w:t>
      </w:r>
      <w:r w:rsidR="002E574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stark </w:t>
      </w:r>
      <w:r w:rsidR="008471B8">
        <w:rPr>
          <w:rFonts w:ascii="Arial" w:eastAsiaTheme="minorHAnsi" w:hAnsi="Arial" w:cs="Arial"/>
          <w:sz w:val="20"/>
          <w:szCs w:val="20"/>
          <w:lang w:val="de-DE" w:eastAsia="en-US"/>
        </w:rPr>
        <w:t xml:space="preserve">verändernden Marktbedingungen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möchte </w:t>
      </w:r>
      <w:r w:rsidR="0032004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der </w:t>
      </w:r>
      <w:r w:rsidR="003B5F61">
        <w:rPr>
          <w:rFonts w:ascii="Arial" w:eastAsiaTheme="minorHAnsi" w:hAnsi="Arial" w:cs="Arial"/>
          <w:sz w:val="20"/>
          <w:szCs w:val="20"/>
          <w:lang w:val="de-DE" w:eastAsia="en-US"/>
        </w:rPr>
        <w:t>Fashion</w:t>
      </w:r>
      <w:r w:rsidR="00320045">
        <w:rPr>
          <w:rFonts w:ascii="Arial" w:eastAsiaTheme="minorHAnsi" w:hAnsi="Arial" w:cs="Arial"/>
          <w:sz w:val="20"/>
          <w:szCs w:val="20"/>
          <w:lang w:val="de-DE" w:eastAsia="en-US"/>
        </w:rPr>
        <w:t>-Profi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seine </w:t>
      </w:r>
      <w:r w:rsidR="00A9296D">
        <w:rPr>
          <w:rFonts w:ascii="Arial" w:eastAsiaTheme="minorHAnsi" w:hAnsi="Arial" w:cs="Arial"/>
          <w:sz w:val="20"/>
          <w:szCs w:val="20"/>
          <w:lang w:val="de-DE" w:eastAsia="en-US"/>
        </w:rPr>
        <w:t>Logistik-</w:t>
      </w:r>
      <w:r w:rsidR="006B070C">
        <w:rPr>
          <w:rFonts w:ascii="Arial" w:eastAsiaTheme="minorHAnsi" w:hAnsi="Arial" w:cs="Arial"/>
          <w:sz w:val="20"/>
          <w:szCs w:val="20"/>
          <w:lang w:val="de-DE" w:eastAsia="en-US"/>
        </w:rPr>
        <w:t>Prozesse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92C38">
        <w:rPr>
          <w:rFonts w:ascii="Arial" w:eastAsiaTheme="minorHAnsi" w:hAnsi="Arial" w:cs="Arial"/>
          <w:sz w:val="20"/>
          <w:szCs w:val="20"/>
          <w:lang w:val="de-DE" w:eastAsia="en-US"/>
        </w:rPr>
        <w:t>auf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die zukünftigen Erfordernisse ausr</w:t>
      </w:r>
      <w:r w:rsidR="00F35DF6">
        <w:rPr>
          <w:rFonts w:ascii="Arial" w:eastAsiaTheme="minorHAnsi" w:hAnsi="Arial" w:cs="Arial"/>
          <w:sz w:val="20"/>
          <w:szCs w:val="20"/>
          <w:lang w:val="de-DE" w:eastAsia="en-US"/>
        </w:rPr>
        <w:t>ichten</w:t>
      </w:r>
      <w:r w:rsidR="00E93F2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und zentralisieren</w:t>
      </w:r>
      <w:r w:rsidR="0090172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. </w:t>
      </w:r>
      <w:r w:rsidR="00E93F27">
        <w:rPr>
          <w:rFonts w:ascii="Arial" w:eastAsiaTheme="minorHAnsi" w:hAnsi="Arial" w:cs="Arial"/>
          <w:sz w:val="20"/>
          <w:szCs w:val="20"/>
          <w:lang w:val="de-DE" w:eastAsia="en-US"/>
        </w:rPr>
        <w:t>Daher</w:t>
      </w:r>
      <w:r w:rsidR="0090172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setzt man </w:t>
      </w:r>
      <w:r w:rsidR="00F35DF6">
        <w:rPr>
          <w:rFonts w:ascii="Arial" w:eastAsiaTheme="minorHAnsi" w:hAnsi="Arial" w:cs="Arial"/>
          <w:sz w:val="20"/>
          <w:szCs w:val="20"/>
          <w:lang w:val="de-DE" w:eastAsia="en-US"/>
        </w:rPr>
        <w:t>auf ein neues Distributi</w:t>
      </w:r>
      <w:r w:rsidR="005A37FB">
        <w:rPr>
          <w:rFonts w:ascii="Arial" w:eastAsiaTheme="minorHAnsi" w:hAnsi="Arial" w:cs="Arial"/>
          <w:sz w:val="20"/>
          <w:szCs w:val="20"/>
          <w:lang w:val="de-DE" w:eastAsia="en-US"/>
        </w:rPr>
        <w:t>onszentru</w:t>
      </w:r>
      <w:r w:rsidR="000F6F55">
        <w:rPr>
          <w:rFonts w:ascii="Arial" w:eastAsiaTheme="minorHAnsi" w:hAnsi="Arial" w:cs="Arial"/>
          <w:sz w:val="20"/>
          <w:szCs w:val="20"/>
          <w:lang w:val="de-DE" w:eastAsia="en-US"/>
        </w:rPr>
        <w:t>m bei Shanghai</w:t>
      </w:r>
      <w:r w:rsidR="0090172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das sowohl </w:t>
      </w:r>
      <w:r w:rsidR="002E5747">
        <w:rPr>
          <w:rFonts w:ascii="Arial" w:eastAsiaTheme="minorHAnsi" w:hAnsi="Arial" w:cs="Arial"/>
          <w:sz w:val="20"/>
          <w:szCs w:val="20"/>
          <w:lang w:val="de-DE" w:eastAsia="en-US"/>
        </w:rPr>
        <w:t>das</w:t>
      </w:r>
      <w:r w:rsidR="0090172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B2B- als auch </w:t>
      </w:r>
      <w:r w:rsidR="00320D4B">
        <w:rPr>
          <w:rFonts w:ascii="Arial" w:eastAsiaTheme="minorHAnsi" w:hAnsi="Arial" w:cs="Arial"/>
          <w:sz w:val="20"/>
          <w:szCs w:val="20"/>
          <w:lang w:val="de-DE" w:eastAsia="en-US"/>
        </w:rPr>
        <w:t>das</w:t>
      </w:r>
      <w:r w:rsidR="0090172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B2C-</w:t>
      </w:r>
      <w:r w:rsidR="002E5747">
        <w:rPr>
          <w:rFonts w:ascii="Arial" w:eastAsiaTheme="minorHAnsi" w:hAnsi="Arial" w:cs="Arial"/>
          <w:sz w:val="20"/>
          <w:szCs w:val="20"/>
          <w:lang w:val="de-DE" w:eastAsia="en-US"/>
        </w:rPr>
        <w:t>Segment</w:t>
      </w:r>
      <w:r w:rsidR="0090172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6B070C">
        <w:rPr>
          <w:rFonts w:ascii="Arial" w:eastAsiaTheme="minorHAnsi" w:hAnsi="Arial" w:cs="Arial"/>
          <w:sz w:val="20"/>
          <w:szCs w:val="20"/>
          <w:lang w:val="de-DE" w:eastAsia="en-US"/>
        </w:rPr>
        <w:t>abdecken soll</w:t>
      </w:r>
      <w:r w:rsidR="000F6F5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. </w:t>
      </w:r>
      <w:r w:rsidR="00F920AB">
        <w:rPr>
          <w:rFonts w:ascii="Arial" w:eastAsiaTheme="minorHAnsi" w:hAnsi="Arial" w:cs="Arial"/>
          <w:sz w:val="20"/>
          <w:szCs w:val="20"/>
          <w:lang w:val="de-DE" w:eastAsia="en-US"/>
        </w:rPr>
        <w:t xml:space="preserve">Logistik- und Prozesskosten </w:t>
      </w:r>
      <w:r w:rsidR="00E92C38">
        <w:rPr>
          <w:rFonts w:ascii="Arial" w:eastAsiaTheme="minorHAnsi" w:hAnsi="Arial" w:cs="Arial"/>
          <w:sz w:val="20"/>
          <w:szCs w:val="20"/>
          <w:lang w:val="de-DE" w:eastAsia="en-US"/>
        </w:rPr>
        <w:t>lassen sich so</w:t>
      </w:r>
      <w:r w:rsidR="00F920AB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reduzieren und die Auslieferungen </w:t>
      </w:r>
      <w:r w:rsidR="009A34A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dank hoher Automatisierung </w:t>
      </w:r>
      <w:r w:rsidR="00F90141">
        <w:rPr>
          <w:rFonts w:ascii="Arial" w:eastAsiaTheme="minorHAnsi" w:hAnsi="Arial" w:cs="Arial"/>
          <w:sz w:val="20"/>
          <w:szCs w:val="20"/>
          <w:lang w:val="de-DE" w:eastAsia="en-US"/>
        </w:rPr>
        <w:t>spürbar</w:t>
      </w:r>
      <w:r w:rsidR="00BA602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4E27F0">
        <w:rPr>
          <w:rFonts w:ascii="Arial" w:eastAsiaTheme="minorHAnsi" w:hAnsi="Arial" w:cs="Arial"/>
          <w:sz w:val="20"/>
          <w:szCs w:val="20"/>
          <w:lang w:val="de-DE" w:eastAsia="en-US"/>
        </w:rPr>
        <w:t>beschleunigen</w:t>
      </w:r>
      <w:r w:rsidR="00F920AB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</w:p>
    <w:p w14:paraId="17D50202" w14:textId="77777777" w:rsidR="009C42A1" w:rsidRDefault="009C42A1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1BACA76" w14:textId="77777777" w:rsidR="009C42A1" w:rsidRPr="009C42A1" w:rsidRDefault="00F90141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Energieeffizientes</w:t>
      </w:r>
      <w:r w:rsidR="009C42A1" w:rsidRPr="009C42A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Shuttle-Lager</w:t>
      </w:r>
    </w:p>
    <w:p w14:paraId="55F5F27F" w14:textId="77777777" w:rsidR="00BC5399" w:rsidRDefault="00BC5399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764E5FA" w14:textId="4550E16E" w:rsidR="00BC5399" w:rsidRDefault="003B62D8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>Das</w:t>
      </w:r>
      <w:r w:rsidR="00BC539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Shuttle-Lager, in dem sich 144 </w:t>
      </w:r>
      <w:r w:rsidR="000F6F55">
        <w:rPr>
          <w:rFonts w:ascii="Arial" w:eastAsiaTheme="minorHAnsi" w:hAnsi="Arial" w:cs="Arial"/>
          <w:sz w:val="20"/>
          <w:szCs w:val="20"/>
          <w:lang w:val="de-DE" w:eastAsia="en-US"/>
        </w:rPr>
        <w:t>Stingray</w:t>
      </w:r>
      <w:r w:rsidR="00446BA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BC539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Shuttles </w:t>
      </w:r>
      <w:r w:rsidR="0060729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vollautomatisch und </w:t>
      </w:r>
      <w:r w:rsidR="00CD36F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blitzschnell </w:t>
      </w:r>
      <w:r w:rsidR="0047463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durch </w:t>
      </w:r>
      <w:r w:rsidR="00A9296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die </w:t>
      </w:r>
      <w:r w:rsidR="00474631">
        <w:rPr>
          <w:rFonts w:ascii="Arial" w:eastAsiaTheme="minorHAnsi" w:hAnsi="Arial" w:cs="Arial"/>
          <w:sz w:val="20"/>
          <w:szCs w:val="20"/>
          <w:lang w:val="de-DE" w:eastAsia="en-US"/>
        </w:rPr>
        <w:t>acht Gassen</w:t>
      </w:r>
      <w:r w:rsidR="00A9296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bewegen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, dient als Warenausgangspuffer für den Versand</w:t>
      </w:r>
      <w:bookmarkStart w:id="0" w:name="_GoBack"/>
      <w:bookmarkEnd w:id="0"/>
      <w:r w:rsidR="00BC5399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 w:rsidR="00CD36F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Ein </w:t>
      </w:r>
      <w:r w:rsidR="004E27F0">
        <w:rPr>
          <w:rFonts w:ascii="Arial" w:eastAsiaTheme="minorHAnsi" w:hAnsi="Arial" w:cs="Arial"/>
          <w:sz w:val="20"/>
          <w:szCs w:val="20"/>
          <w:lang w:val="de-DE" w:eastAsia="en-US"/>
        </w:rPr>
        <w:t>intelligentes Energiemanagement</w:t>
      </w:r>
      <w:r w:rsidR="00CD36F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sorgt dafür, dass </w:t>
      </w:r>
      <w:r w:rsidR="004E27F0">
        <w:rPr>
          <w:rFonts w:ascii="Arial" w:eastAsiaTheme="minorHAnsi" w:hAnsi="Arial" w:cs="Arial"/>
          <w:sz w:val="20"/>
          <w:szCs w:val="20"/>
          <w:lang w:val="de-DE" w:eastAsia="en-US"/>
        </w:rPr>
        <w:t>beim Bremsen Energie</w:t>
      </w:r>
      <w:r w:rsidR="0074313F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zurückgewonnen wird und ins System eingespeist werden kann</w:t>
      </w:r>
      <w:r w:rsidR="00CD36F9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 w:rsidR="00BC539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TGW liefert </w:t>
      </w:r>
      <w:r w:rsidR="00D34CCD">
        <w:rPr>
          <w:rFonts w:ascii="Arial" w:eastAsiaTheme="minorHAnsi" w:hAnsi="Arial" w:cs="Arial"/>
          <w:sz w:val="20"/>
          <w:szCs w:val="20"/>
          <w:lang w:val="de-DE" w:eastAsia="en-US"/>
        </w:rPr>
        <w:t>darüber hinaus auch</w:t>
      </w:r>
      <w:r w:rsidR="00BC539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die Steuerung und das Warehouse Control System (WCS). Skechers </w:t>
      </w:r>
      <w:r w:rsidR="0060729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setzt </w:t>
      </w:r>
      <w:r w:rsidR="00F901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außerdem </w:t>
      </w:r>
      <w:r w:rsidR="00BC5399">
        <w:rPr>
          <w:rFonts w:ascii="Arial" w:eastAsiaTheme="minorHAnsi" w:hAnsi="Arial" w:cs="Arial"/>
          <w:sz w:val="20"/>
          <w:szCs w:val="20"/>
          <w:lang w:val="de-DE" w:eastAsia="en-US"/>
        </w:rPr>
        <w:t>auf zwölf Kilometer der energieeffizienten KingDrive</w:t>
      </w:r>
      <w:r w:rsidR="00BC5399" w:rsidRPr="00BC5399">
        <w:rPr>
          <w:rFonts w:ascii="Arial" w:eastAsiaTheme="minorHAnsi" w:hAnsi="Arial" w:cs="Arial"/>
          <w:sz w:val="20"/>
          <w:szCs w:val="20"/>
          <w:vertAlign w:val="superscript"/>
          <w:lang w:val="de-DE" w:eastAsia="en-US"/>
        </w:rPr>
        <w:t>®</w:t>
      </w:r>
      <w:r w:rsidR="00BC539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-Technologie </w:t>
      </w:r>
      <w:r w:rsidR="00474631">
        <w:rPr>
          <w:rFonts w:ascii="Arial" w:eastAsiaTheme="minorHAnsi" w:hAnsi="Arial" w:cs="Arial"/>
          <w:sz w:val="20"/>
          <w:szCs w:val="20"/>
          <w:lang w:val="de-DE" w:eastAsia="en-US"/>
        </w:rPr>
        <w:t>sowie</w:t>
      </w:r>
      <w:r w:rsidR="00BC539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vier Nat</w:t>
      </w:r>
      <w:r w:rsidR="00474631">
        <w:rPr>
          <w:rFonts w:ascii="Arial" w:eastAsiaTheme="minorHAnsi" w:hAnsi="Arial" w:cs="Arial"/>
          <w:sz w:val="20"/>
          <w:szCs w:val="20"/>
          <w:lang w:val="de-DE" w:eastAsia="en-US"/>
        </w:rPr>
        <w:t>rix-Hochleistungs-Schuhsorter</w:t>
      </w:r>
      <w:r w:rsidR="00BC5399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 w:rsidR="001D5A9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Die TGW-Fördertechnik</w:t>
      </w:r>
      <w:r w:rsidR="0014129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verbindet die einzelnen Bereiche miteinander: vom Wareneingang über die Sortierung und </w:t>
      </w:r>
      <w:r w:rsidR="008F78D8">
        <w:rPr>
          <w:rFonts w:ascii="Arial" w:eastAsiaTheme="minorHAnsi" w:hAnsi="Arial" w:cs="Arial"/>
          <w:sz w:val="20"/>
          <w:szCs w:val="20"/>
          <w:lang w:val="de-DE" w:eastAsia="en-US"/>
        </w:rPr>
        <w:t>die Kommissionierung</w:t>
      </w:r>
      <w:r w:rsidR="0014129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bis hin zum Warenausgang.</w:t>
      </w:r>
    </w:p>
    <w:p w14:paraId="2D44B1CB" w14:textId="1E003ED3" w:rsidR="00141294" w:rsidRDefault="00141294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A76DC1A" w14:textId="77777777" w:rsidR="00141294" w:rsidRDefault="00141294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4D77A9D" w14:textId="77777777" w:rsidR="00AD73BF" w:rsidRDefault="00AD73BF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987CE39" w14:textId="77777777" w:rsidR="00AD73BF" w:rsidRPr="003C4C14" w:rsidRDefault="003C4C14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 w:rsidRPr="003C4C14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Größter Auftrag </w:t>
      </w:r>
      <w:r w:rsidR="007861E5">
        <w:rPr>
          <w:rFonts w:ascii="Arial" w:eastAsiaTheme="minorHAnsi" w:hAnsi="Arial" w:cs="Arial"/>
          <w:b/>
          <w:sz w:val="20"/>
          <w:szCs w:val="20"/>
          <w:lang w:val="de-DE" w:eastAsia="en-US"/>
        </w:rPr>
        <w:t>in der Geschichte von</w:t>
      </w:r>
      <w:r w:rsidRPr="003C4C14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TGW China</w:t>
      </w:r>
    </w:p>
    <w:p w14:paraId="19FF3DD8" w14:textId="77777777" w:rsidR="00BC5399" w:rsidRDefault="00BC5399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FF458D7" w14:textId="05905B31" w:rsidR="00D91CD9" w:rsidRDefault="00D91CD9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>Für TGW China handelt es sich um den größten Auftrag in der jungen Firmengeschichte.</w:t>
      </w:r>
      <w:r w:rsidR="00503E3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Das Projekt stellt damit einen weiteren Meilenstein in der Entwicklung der TGW-Einheit </w:t>
      </w:r>
      <w:r w:rsidR="00503E3E">
        <w:rPr>
          <w:rFonts w:ascii="Arial" w:eastAsiaTheme="minorHAnsi" w:hAnsi="Arial" w:cs="Arial"/>
          <w:sz w:val="20"/>
          <w:szCs w:val="20"/>
          <w:lang w:val="de-DE" w:eastAsia="en-US"/>
        </w:rPr>
        <w:lastRenderedPageBreak/>
        <w:t>dar.</w:t>
      </w:r>
      <w:r w:rsidR="0016199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5C7E1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Der Großteil der Wertschöpfungskette wird von TGW abgedeckt: von den mechatronischen Komponenten </w:t>
      </w:r>
      <w:r w:rsidR="00607294">
        <w:rPr>
          <w:rFonts w:ascii="Arial" w:eastAsiaTheme="minorHAnsi" w:hAnsi="Arial" w:cs="Arial"/>
          <w:sz w:val="20"/>
          <w:szCs w:val="20"/>
          <w:lang w:val="de-DE" w:eastAsia="en-US"/>
        </w:rPr>
        <w:t>samt</w:t>
      </w:r>
      <w:r w:rsidR="005C7E1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Rollenförderer</w:t>
      </w:r>
      <w:r w:rsidR="00607294">
        <w:rPr>
          <w:rFonts w:ascii="Arial" w:eastAsiaTheme="minorHAnsi" w:hAnsi="Arial" w:cs="Arial"/>
          <w:sz w:val="20"/>
          <w:szCs w:val="20"/>
          <w:lang w:val="de-DE" w:eastAsia="en-US"/>
        </w:rPr>
        <w:t>n</w:t>
      </w:r>
      <w:r w:rsidR="005C7E1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aus lokaler Produktion bis hin zur Software.</w:t>
      </w:r>
    </w:p>
    <w:p w14:paraId="0C0113FD" w14:textId="77777777" w:rsidR="001F757E" w:rsidRDefault="001F757E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14A5E264" w14:textId="23C94C07" w:rsidR="000F039C" w:rsidRDefault="00C049F8" w:rsidP="0060729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>Skechers</w:t>
      </w:r>
      <w:r w:rsidR="00BC539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plant bereits eine Erweiterung des Systems um zusätzliche acht Shuttlegassen.</w:t>
      </w:r>
      <w:r w:rsidR="00895AA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895AA0" w:rsidRPr="00895AA0">
        <w:rPr>
          <w:rFonts w:ascii="Arial" w:eastAsiaTheme="minorHAnsi" w:hAnsi="Arial" w:cs="Arial"/>
          <w:b/>
          <w:sz w:val="20"/>
          <w:szCs w:val="20"/>
          <w:lang w:val="de-DE" w:eastAsia="en-US"/>
        </w:rPr>
        <w:t>Frank Imkamp</w:t>
      </w:r>
      <w:r w:rsidR="00895AA0">
        <w:rPr>
          <w:rFonts w:ascii="Arial" w:eastAsiaTheme="minorHAnsi" w:hAnsi="Arial" w:cs="Arial"/>
          <w:sz w:val="20"/>
          <w:szCs w:val="20"/>
          <w:lang w:val="de-DE" w:eastAsia="en-US"/>
        </w:rPr>
        <w:t>, CEO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von</w:t>
      </w:r>
      <w:r w:rsidR="00895AA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TGW China </w:t>
      </w:r>
      <w:r w:rsidR="00F66730">
        <w:rPr>
          <w:rFonts w:ascii="Arial" w:eastAsiaTheme="minorHAnsi" w:hAnsi="Arial" w:cs="Arial"/>
          <w:sz w:val="20"/>
          <w:szCs w:val="20"/>
          <w:lang w:val="de-DE" w:eastAsia="en-US"/>
        </w:rPr>
        <w:t>unterstreicht</w:t>
      </w:r>
      <w:r w:rsidR="00895AA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: „Wir errichten </w:t>
      </w:r>
      <w:r w:rsidR="00AA7C4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für Skechers </w:t>
      </w:r>
      <w:r w:rsidR="00895AA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die am höchsten automatisierte Intralogistik-Anlage in ganz China. </w:t>
      </w:r>
      <w:r w:rsidR="00607294">
        <w:rPr>
          <w:rFonts w:ascii="Arial" w:eastAsiaTheme="minorHAnsi" w:hAnsi="Arial" w:cs="Arial"/>
          <w:sz w:val="20"/>
          <w:szCs w:val="20"/>
          <w:lang w:val="de-DE" w:eastAsia="en-US"/>
        </w:rPr>
        <w:t>Das unterstreicht, dass TGW die richtigen Lösungen für den chinesischen Markt anbietet, der enormes Potential aufweist.“</w:t>
      </w:r>
    </w:p>
    <w:p w14:paraId="3AEAD6EB" w14:textId="77777777"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E43BEE0" w14:textId="77777777"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7FE787B" w14:textId="77777777"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860F01C" w14:textId="77777777"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9E82B74" w14:textId="77777777"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AD7CD58" w14:textId="77777777"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3ED7864" w14:textId="77777777" w:rsidR="00337F4B" w:rsidRDefault="00337F4B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83082D9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8189599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22FF575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4E87267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479BEA6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D93A8FD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4C6E513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D4EEAC8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791F58B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58584C8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E43915E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312CC380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1D54E530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CE91430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74B866A7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147001D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7BDC44A7" w14:textId="77777777" w:rsidR="00587756" w:rsidRDefault="00587756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C42BEFE" w14:textId="77777777" w:rsidR="00480094" w:rsidRDefault="00480094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37A5E7B9" w14:textId="77777777" w:rsidR="00480094" w:rsidRDefault="00480094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72B768B0" w14:textId="77777777" w:rsidR="00480094" w:rsidRDefault="00480094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13828E5" w14:textId="77777777" w:rsidR="000F039C" w:rsidRPr="001D5A9A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AU"/>
        </w:rPr>
      </w:pPr>
      <w:r w:rsidRPr="001D5A9A">
        <w:rPr>
          <w:rFonts w:ascii="Arial" w:hAnsi="Arial" w:cs="Arial"/>
          <w:sz w:val="20"/>
          <w:szCs w:val="20"/>
          <w:lang w:val="en-AU"/>
        </w:rPr>
        <w:t>www.tgw-group.com</w:t>
      </w:r>
    </w:p>
    <w:p w14:paraId="62857D88" w14:textId="77777777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1D5A9A">
        <w:rPr>
          <w:rFonts w:cs="Arial"/>
          <w:b/>
          <w:szCs w:val="20"/>
          <w:lang w:val="en-AU"/>
        </w:rPr>
        <w:t>Über die TGW Logistics Group:</w:t>
      </w:r>
    </w:p>
    <w:p w14:paraId="362DA7EB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Die TGW Logistics Group ist ein international führender Anbieter von Intralogistik-Lösungen. Seit fast 50 Jahren realisiert der österreichische Spezialist </w:t>
      </w:r>
      <w:r w:rsidR="00292532">
        <w:rPr>
          <w:rFonts w:cs="Arial"/>
          <w:szCs w:val="20"/>
        </w:rPr>
        <w:t>hoch</w:t>
      </w:r>
      <w:r>
        <w:rPr>
          <w:rFonts w:cs="Arial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Default="000F039C" w:rsidP="00493E79">
      <w:pPr>
        <w:tabs>
          <w:tab w:val="left" w:pos="1697"/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520163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>
        <w:rPr>
          <w:rFonts w:cs="Arial"/>
          <w:szCs w:val="20"/>
        </w:rPr>
        <w:t>mehr als 3.3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>rbeiter. Im Wirtschaftsjahr 2017/2018</w:t>
      </w:r>
      <w:r>
        <w:rPr>
          <w:rFonts w:cs="Arial"/>
          <w:szCs w:val="20"/>
        </w:rPr>
        <w:t xml:space="preserve"> erzielte das Unternehmen einen Gesamtumsatz von </w:t>
      </w:r>
      <w:r w:rsidR="00AE27B7">
        <w:rPr>
          <w:rFonts w:cs="Arial"/>
          <w:szCs w:val="20"/>
        </w:rPr>
        <w:t>713</w:t>
      </w:r>
      <w:r>
        <w:rPr>
          <w:rFonts w:cs="Arial"/>
          <w:szCs w:val="20"/>
        </w:rPr>
        <w:t xml:space="preserve"> Millionen Euro.</w:t>
      </w:r>
    </w:p>
    <w:p w14:paraId="6B004C0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0571E76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DC68D03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51CBA4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A2412E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54F54C0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61739AE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2B0AD71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59E9EC7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7E214EAB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5ED3F43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>, Sternmühlstraße 3</w:t>
      </w:r>
    </w:p>
    <w:p w14:paraId="044D238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1E5885FA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518876F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59108F5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6B5779D5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15E9C4F0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434D5AC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39F600F3" w14:textId="77777777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1D5A9A">
        <w:rPr>
          <w:rFonts w:cs="Arial"/>
          <w:b/>
          <w:szCs w:val="20"/>
          <w:lang w:val="en-AU"/>
        </w:rPr>
        <w:t>Pressekontakt:</w:t>
      </w:r>
    </w:p>
    <w:p w14:paraId="2D8F3F79" w14:textId="77777777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1D5A9A">
        <w:rPr>
          <w:rFonts w:cs="Arial"/>
          <w:szCs w:val="20"/>
          <w:lang w:val="en-AU"/>
        </w:rPr>
        <w:t>Martin Kirchmayr</w:t>
      </w:r>
    </w:p>
    <w:p w14:paraId="6B82CC9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E93F27">
        <w:rPr>
          <w:rFonts w:cs="Arial"/>
          <w:szCs w:val="20"/>
          <w:lang w:val="en-US"/>
        </w:rPr>
        <w:t>s</w:t>
      </w:r>
    </w:p>
    <w:p w14:paraId="13EF893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+43.(0)50.486-1382</w:t>
      </w:r>
    </w:p>
    <w:p w14:paraId="676F93B0" w14:textId="77777777" w:rsidR="000F039C" w:rsidRDefault="002377CC" w:rsidP="00493E79">
      <w:pPr>
        <w:tabs>
          <w:tab w:val="left" w:pos="3432"/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</w:p>
    <w:p w14:paraId="3E81B42F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martin.kirchmayr@tgw-group.com</w:t>
      </w:r>
    </w:p>
    <w:p w14:paraId="10EA427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0604D5C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028AFC02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28F286BC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</w:p>
    <w:p w14:paraId="7B27A20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14:paraId="3A7EEAB0" w14:textId="77777777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1D5A9A">
        <w:rPr>
          <w:rFonts w:cs="Arial"/>
          <w:szCs w:val="20"/>
          <w:lang w:val="de-AT"/>
        </w:rPr>
        <w:t>M: +43.(0)664.88459713</w:t>
      </w:r>
    </w:p>
    <w:p w14:paraId="31FE3230" w14:textId="77777777" w:rsidR="00227EC1" w:rsidRPr="00FA263C" w:rsidRDefault="000F039C" w:rsidP="00FA263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 w:eastAsia="de-AT"/>
        </w:rPr>
      </w:pPr>
      <w:r>
        <w:rPr>
          <w:rFonts w:cs="Arial"/>
          <w:szCs w:val="20"/>
        </w:rPr>
        <w:t>alexander.tahedl@tgw-group.com</w:t>
      </w:r>
    </w:p>
    <w:sectPr w:rsidR="00227EC1" w:rsidRPr="00FA263C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6362" w14:textId="77777777" w:rsidR="00E03D80" w:rsidRDefault="00E03D80" w:rsidP="00764006">
      <w:pPr>
        <w:spacing w:line="240" w:lineRule="auto"/>
      </w:pPr>
      <w:r>
        <w:separator/>
      </w:r>
    </w:p>
  </w:endnote>
  <w:endnote w:type="continuationSeparator" w:id="0">
    <w:p w14:paraId="5ABC779D" w14:textId="77777777" w:rsidR="00E03D80" w:rsidRDefault="00E03D8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7BD35106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3B62D8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B7F7" w14:textId="77777777" w:rsidR="00E03D80" w:rsidRDefault="00E03D80" w:rsidP="00764006">
      <w:pPr>
        <w:spacing w:line="240" w:lineRule="auto"/>
      </w:pPr>
      <w:r>
        <w:separator/>
      </w:r>
    </w:p>
  </w:footnote>
  <w:footnote w:type="continuationSeparator" w:id="0">
    <w:p w14:paraId="7D89600C" w14:textId="77777777" w:rsidR="00E03D80" w:rsidRDefault="00E03D8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77777777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8212ED">
      <w:t>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1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18"/>
  </w:num>
  <w:num w:numId="10">
    <w:abstractNumId w:val="1"/>
  </w:num>
  <w:num w:numId="11">
    <w:abstractNumId w:val="5"/>
  </w:num>
  <w:num w:numId="12">
    <w:abstractNumId w:val="15"/>
  </w:num>
  <w:num w:numId="13">
    <w:abstractNumId w:val="16"/>
  </w:num>
  <w:num w:numId="14">
    <w:abstractNumId w:val="20"/>
  </w:num>
  <w:num w:numId="15">
    <w:abstractNumId w:val="22"/>
  </w:num>
  <w:num w:numId="16">
    <w:abstractNumId w:val="3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7176"/>
    <w:rsid w:val="00010A8A"/>
    <w:rsid w:val="00016805"/>
    <w:rsid w:val="00016A42"/>
    <w:rsid w:val="00020C90"/>
    <w:rsid w:val="0002337D"/>
    <w:rsid w:val="00026B06"/>
    <w:rsid w:val="00032B83"/>
    <w:rsid w:val="000338CC"/>
    <w:rsid w:val="00033F6D"/>
    <w:rsid w:val="00036D20"/>
    <w:rsid w:val="00041846"/>
    <w:rsid w:val="00043FE7"/>
    <w:rsid w:val="00044B78"/>
    <w:rsid w:val="00044F5F"/>
    <w:rsid w:val="00045425"/>
    <w:rsid w:val="00046CA1"/>
    <w:rsid w:val="0005207A"/>
    <w:rsid w:val="00055779"/>
    <w:rsid w:val="000603BE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7E72"/>
    <w:rsid w:val="00081FA6"/>
    <w:rsid w:val="0008298D"/>
    <w:rsid w:val="0008328C"/>
    <w:rsid w:val="00084DC2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3C02"/>
    <w:rsid w:val="000A490F"/>
    <w:rsid w:val="000A51B5"/>
    <w:rsid w:val="000A5860"/>
    <w:rsid w:val="000A67DD"/>
    <w:rsid w:val="000B3A42"/>
    <w:rsid w:val="000B6520"/>
    <w:rsid w:val="000B6892"/>
    <w:rsid w:val="000B697D"/>
    <w:rsid w:val="000B6D90"/>
    <w:rsid w:val="000C043F"/>
    <w:rsid w:val="000D0B64"/>
    <w:rsid w:val="000D0FFE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721B"/>
    <w:rsid w:val="000E742E"/>
    <w:rsid w:val="000E779D"/>
    <w:rsid w:val="000F039C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7307"/>
    <w:rsid w:val="00121757"/>
    <w:rsid w:val="00132861"/>
    <w:rsid w:val="001336A2"/>
    <w:rsid w:val="001354C6"/>
    <w:rsid w:val="00135923"/>
    <w:rsid w:val="00136EEB"/>
    <w:rsid w:val="001411C5"/>
    <w:rsid w:val="00141294"/>
    <w:rsid w:val="00141B16"/>
    <w:rsid w:val="00141F13"/>
    <w:rsid w:val="00142118"/>
    <w:rsid w:val="001436B8"/>
    <w:rsid w:val="00151881"/>
    <w:rsid w:val="001529FF"/>
    <w:rsid w:val="00152B5E"/>
    <w:rsid w:val="00152DD7"/>
    <w:rsid w:val="00156203"/>
    <w:rsid w:val="00157348"/>
    <w:rsid w:val="00157FD2"/>
    <w:rsid w:val="001606D4"/>
    <w:rsid w:val="00161058"/>
    <w:rsid w:val="0016199C"/>
    <w:rsid w:val="00161F24"/>
    <w:rsid w:val="0017018E"/>
    <w:rsid w:val="00170E83"/>
    <w:rsid w:val="00172F83"/>
    <w:rsid w:val="00174858"/>
    <w:rsid w:val="00174FA7"/>
    <w:rsid w:val="00175297"/>
    <w:rsid w:val="001825C5"/>
    <w:rsid w:val="00183096"/>
    <w:rsid w:val="00183B79"/>
    <w:rsid w:val="001845C3"/>
    <w:rsid w:val="0018497E"/>
    <w:rsid w:val="00185E8C"/>
    <w:rsid w:val="00193DF6"/>
    <w:rsid w:val="00195B5A"/>
    <w:rsid w:val="001A0355"/>
    <w:rsid w:val="001A0755"/>
    <w:rsid w:val="001A3CC9"/>
    <w:rsid w:val="001B0377"/>
    <w:rsid w:val="001B1C61"/>
    <w:rsid w:val="001B3B4C"/>
    <w:rsid w:val="001B6421"/>
    <w:rsid w:val="001B7711"/>
    <w:rsid w:val="001C1504"/>
    <w:rsid w:val="001C1F1C"/>
    <w:rsid w:val="001C75F5"/>
    <w:rsid w:val="001C7C14"/>
    <w:rsid w:val="001D1972"/>
    <w:rsid w:val="001D38DF"/>
    <w:rsid w:val="001D3B2A"/>
    <w:rsid w:val="001D3BE6"/>
    <w:rsid w:val="001D3C10"/>
    <w:rsid w:val="001D5A9A"/>
    <w:rsid w:val="001E12D3"/>
    <w:rsid w:val="001E4E67"/>
    <w:rsid w:val="001E7058"/>
    <w:rsid w:val="001F4EB1"/>
    <w:rsid w:val="001F5042"/>
    <w:rsid w:val="001F5E6D"/>
    <w:rsid w:val="001F757E"/>
    <w:rsid w:val="002039AC"/>
    <w:rsid w:val="00205044"/>
    <w:rsid w:val="00205B69"/>
    <w:rsid w:val="002070D2"/>
    <w:rsid w:val="0020750E"/>
    <w:rsid w:val="00213187"/>
    <w:rsid w:val="00214E93"/>
    <w:rsid w:val="002170BE"/>
    <w:rsid w:val="002178D9"/>
    <w:rsid w:val="00221837"/>
    <w:rsid w:val="00222B47"/>
    <w:rsid w:val="00227EC1"/>
    <w:rsid w:val="002316D5"/>
    <w:rsid w:val="00231C7F"/>
    <w:rsid w:val="0023298C"/>
    <w:rsid w:val="00236B64"/>
    <w:rsid w:val="002377CC"/>
    <w:rsid w:val="00237FAD"/>
    <w:rsid w:val="00240F29"/>
    <w:rsid w:val="00241EA6"/>
    <w:rsid w:val="0024517B"/>
    <w:rsid w:val="002466C0"/>
    <w:rsid w:val="00246CB6"/>
    <w:rsid w:val="00252CD7"/>
    <w:rsid w:val="00253096"/>
    <w:rsid w:val="00255570"/>
    <w:rsid w:val="00261DBE"/>
    <w:rsid w:val="00263BEF"/>
    <w:rsid w:val="0026487A"/>
    <w:rsid w:val="00266D58"/>
    <w:rsid w:val="00266E09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654B"/>
    <w:rsid w:val="00280307"/>
    <w:rsid w:val="00287E22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27F9"/>
    <w:rsid w:val="002B3503"/>
    <w:rsid w:val="002B4568"/>
    <w:rsid w:val="002B7358"/>
    <w:rsid w:val="002C49C4"/>
    <w:rsid w:val="002C501B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4FEE"/>
    <w:rsid w:val="002F7C97"/>
    <w:rsid w:val="0030159E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DDA"/>
    <w:rsid w:val="0032405B"/>
    <w:rsid w:val="00324AF6"/>
    <w:rsid w:val="003260FC"/>
    <w:rsid w:val="00330273"/>
    <w:rsid w:val="0033228A"/>
    <w:rsid w:val="003336F3"/>
    <w:rsid w:val="00333793"/>
    <w:rsid w:val="00335814"/>
    <w:rsid w:val="00337F4B"/>
    <w:rsid w:val="00340150"/>
    <w:rsid w:val="0034179A"/>
    <w:rsid w:val="00341ED1"/>
    <w:rsid w:val="003423C6"/>
    <w:rsid w:val="003439CE"/>
    <w:rsid w:val="00343E7A"/>
    <w:rsid w:val="00346126"/>
    <w:rsid w:val="003465D3"/>
    <w:rsid w:val="00347892"/>
    <w:rsid w:val="003504E7"/>
    <w:rsid w:val="00353F9E"/>
    <w:rsid w:val="003540AE"/>
    <w:rsid w:val="00355190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3A5C"/>
    <w:rsid w:val="0037522E"/>
    <w:rsid w:val="003765DE"/>
    <w:rsid w:val="003820A5"/>
    <w:rsid w:val="003840BC"/>
    <w:rsid w:val="00387427"/>
    <w:rsid w:val="003877BB"/>
    <w:rsid w:val="00391085"/>
    <w:rsid w:val="00391144"/>
    <w:rsid w:val="003911A2"/>
    <w:rsid w:val="00392F49"/>
    <w:rsid w:val="00393F32"/>
    <w:rsid w:val="003960D4"/>
    <w:rsid w:val="003A0407"/>
    <w:rsid w:val="003A2448"/>
    <w:rsid w:val="003A2AEC"/>
    <w:rsid w:val="003A42A1"/>
    <w:rsid w:val="003A6EC7"/>
    <w:rsid w:val="003A729A"/>
    <w:rsid w:val="003B5F61"/>
    <w:rsid w:val="003B62D8"/>
    <w:rsid w:val="003C0E18"/>
    <w:rsid w:val="003C168D"/>
    <w:rsid w:val="003C4475"/>
    <w:rsid w:val="003C4C14"/>
    <w:rsid w:val="003C55E8"/>
    <w:rsid w:val="003C5E09"/>
    <w:rsid w:val="003C68E1"/>
    <w:rsid w:val="003C6AC1"/>
    <w:rsid w:val="003D0C0E"/>
    <w:rsid w:val="003D1457"/>
    <w:rsid w:val="003D3E79"/>
    <w:rsid w:val="003D66BA"/>
    <w:rsid w:val="003E0954"/>
    <w:rsid w:val="003E13CD"/>
    <w:rsid w:val="003E17B7"/>
    <w:rsid w:val="003E1FF4"/>
    <w:rsid w:val="003E2045"/>
    <w:rsid w:val="003E3D73"/>
    <w:rsid w:val="003E452D"/>
    <w:rsid w:val="003E4E08"/>
    <w:rsid w:val="003E5B84"/>
    <w:rsid w:val="003F04A3"/>
    <w:rsid w:val="003F6519"/>
    <w:rsid w:val="003F6E7A"/>
    <w:rsid w:val="00403ABC"/>
    <w:rsid w:val="00404BB0"/>
    <w:rsid w:val="00404C6F"/>
    <w:rsid w:val="00405383"/>
    <w:rsid w:val="004057A5"/>
    <w:rsid w:val="00417A01"/>
    <w:rsid w:val="00420460"/>
    <w:rsid w:val="00421397"/>
    <w:rsid w:val="00421702"/>
    <w:rsid w:val="00422A59"/>
    <w:rsid w:val="00424B45"/>
    <w:rsid w:val="00425957"/>
    <w:rsid w:val="00430BE8"/>
    <w:rsid w:val="00430D6B"/>
    <w:rsid w:val="00431C20"/>
    <w:rsid w:val="00431E13"/>
    <w:rsid w:val="0043240B"/>
    <w:rsid w:val="00434234"/>
    <w:rsid w:val="00434865"/>
    <w:rsid w:val="00435999"/>
    <w:rsid w:val="00435B98"/>
    <w:rsid w:val="00436E0D"/>
    <w:rsid w:val="0044195E"/>
    <w:rsid w:val="00444BA0"/>
    <w:rsid w:val="00446BA4"/>
    <w:rsid w:val="004472A0"/>
    <w:rsid w:val="00447A66"/>
    <w:rsid w:val="00450B34"/>
    <w:rsid w:val="00452F19"/>
    <w:rsid w:val="004551A0"/>
    <w:rsid w:val="00455B72"/>
    <w:rsid w:val="00455C3D"/>
    <w:rsid w:val="00467299"/>
    <w:rsid w:val="00467BB2"/>
    <w:rsid w:val="00470B0F"/>
    <w:rsid w:val="004712CF"/>
    <w:rsid w:val="00474631"/>
    <w:rsid w:val="00480094"/>
    <w:rsid w:val="004825B7"/>
    <w:rsid w:val="004835A9"/>
    <w:rsid w:val="00484E73"/>
    <w:rsid w:val="00485326"/>
    <w:rsid w:val="00485975"/>
    <w:rsid w:val="00485C68"/>
    <w:rsid w:val="00487647"/>
    <w:rsid w:val="00493E79"/>
    <w:rsid w:val="00494F3A"/>
    <w:rsid w:val="004A36E5"/>
    <w:rsid w:val="004A4623"/>
    <w:rsid w:val="004A48A6"/>
    <w:rsid w:val="004A4B02"/>
    <w:rsid w:val="004A5DE3"/>
    <w:rsid w:val="004A6B41"/>
    <w:rsid w:val="004A78EA"/>
    <w:rsid w:val="004B5F3C"/>
    <w:rsid w:val="004B5FD2"/>
    <w:rsid w:val="004B682D"/>
    <w:rsid w:val="004B68E9"/>
    <w:rsid w:val="004B69A7"/>
    <w:rsid w:val="004B6FA0"/>
    <w:rsid w:val="004C07B9"/>
    <w:rsid w:val="004C2BB2"/>
    <w:rsid w:val="004C436D"/>
    <w:rsid w:val="004C4506"/>
    <w:rsid w:val="004C6BD2"/>
    <w:rsid w:val="004C775A"/>
    <w:rsid w:val="004D09EE"/>
    <w:rsid w:val="004D0ED8"/>
    <w:rsid w:val="004D6889"/>
    <w:rsid w:val="004E264D"/>
    <w:rsid w:val="004E27F0"/>
    <w:rsid w:val="004E371B"/>
    <w:rsid w:val="004E40B1"/>
    <w:rsid w:val="004E4588"/>
    <w:rsid w:val="004E63AE"/>
    <w:rsid w:val="004E6AFB"/>
    <w:rsid w:val="004E72A9"/>
    <w:rsid w:val="004E7850"/>
    <w:rsid w:val="004F4838"/>
    <w:rsid w:val="004F6081"/>
    <w:rsid w:val="00500690"/>
    <w:rsid w:val="00502B61"/>
    <w:rsid w:val="00503E3E"/>
    <w:rsid w:val="0050417C"/>
    <w:rsid w:val="00505DCA"/>
    <w:rsid w:val="00510621"/>
    <w:rsid w:val="00510831"/>
    <w:rsid w:val="00511610"/>
    <w:rsid w:val="00516F92"/>
    <w:rsid w:val="005202F2"/>
    <w:rsid w:val="00521DF4"/>
    <w:rsid w:val="0052421D"/>
    <w:rsid w:val="00525ED3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F83"/>
    <w:rsid w:val="00546244"/>
    <w:rsid w:val="0054730D"/>
    <w:rsid w:val="00547388"/>
    <w:rsid w:val="0055503D"/>
    <w:rsid w:val="0055542D"/>
    <w:rsid w:val="00560882"/>
    <w:rsid w:val="005609F6"/>
    <w:rsid w:val="005634F5"/>
    <w:rsid w:val="005655EB"/>
    <w:rsid w:val="00566C99"/>
    <w:rsid w:val="00572BDA"/>
    <w:rsid w:val="005735A7"/>
    <w:rsid w:val="00574E3C"/>
    <w:rsid w:val="00577E48"/>
    <w:rsid w:val="00582DE4"/>
    <w:rsid w:val="0058334F"/>
    <w:rsid w:val="0058393E"/>
    <w:rsid w:val="00584B0A"/>
    <w:rsid w:val="00586A99"/>
    <w:rsid w:val="00587756"/>
    <w:rsid w:val="00590E98"/>
    <w:rsid w:val="005918D1"/>
    <w:rsid w:val="00593028"/>
    <w:rsid w:val="0059546F"/>
    <w:rsid w:val="00595F90"/>
    <w:rsid w:val="005A1CE4"/>
    <w:rsid w:val="005A3199"/>
    <w:rsid w:val="005A37FB"/>
    <w:rsid w:val="005A4203"/>
    <w:rsid w:val="005A642C"/>
    <w:rsid w:val="005B1FBE"/>
    <w:rsid w:val="005C121A"/>
    <w:rsid w:val="005C3AD9"/>
    <w:rsid w:val="005C3D17"/>
    <w:rsid w:val="005C6F82"/>
    <w:rsid w:val="005C7E11"/>
    <w:rsid w:val="005D00B5"/>
    <w:rsid w:val="005D0133"/>
    <w:rsid w:val="005D1C5D"/>
    <w:rsid w:val="005D2F99"/>
    <w:rsid w:val="005D4AF0"/>
    <w:rsid w:val="005D625F"/>
    <w:rsid w:val="005E15B3"/>
    <w:rsid w:val="005E26CA"/>
    <w:rsid w:val="005E2D7B"/>
    <w:rsid w:val="005E32F3"/>
    <w:rsid w:val="005E4B43"/>
    <w:rsid w:val="005E5C16"/>
    <w:rsid w:val="005F518B"/>
    <w:rsid w:val="005F5638"/>
    <w:rsid w:val="005F7884"/>
    <w:rsid w:val="006027F0"/>
    <w:rsid w:val="00603680"/>
    <w:rsid w:val="00604E8C"/>
    <w:rsid w:val="00605448"/>
    <w:rsid w:val="00607294"/>
    <w:rsid w:val="00607AEF"/>
    <w:rsid w:val="00607EAC"/>
    <w:rsid w:val="006118EE"/>
    <w:rsid w:val="00612290"/>
    <w:rsid w:val="00613B8D"/>
    <w:rsid w:val="00614FAD"/>
    <w:rsid w:val="0061568D"/>
    <w:rsid w:val="006162F8"/>
    <w:rsid w:val="00616DF5"/>
    <w:rsid w:val="006225BA"/>
    <w:rsid w:val="0062373B"/>
    <w:rsid w:val="00623F73"/>
    <w:rsid w:val="00632836"/>
    <w:rsid w:val="006349E7"/>
    <w:rsid w:val="00634BC1"/>
    <w:rsid w:val="00635544"/>
    <w:rsid w:val="00635E54"/>
    <w:rsid w:val="0063784E"/>
    <w:rsid w:val="0064026C"/>
    <w:rsid w:val="0064160D"/>
    <w:rsid w:val="0064273E"/>
    <w:rsid w:val="00645281"/>
    <w:rsid w:val="0064588E"/>
    <w:rsid w:val="00646BB6"/>
    <w:rsid w:val="006476CC"/>
    <w:rsid w:val="00650001"/>
    <w:rsid w:val="00657A2F"/>
    <w:rsid w:val="0066178D"/>
    <w:rsid w:val="00661B77"/>
    <w:rsid w:val="00662DED"/>
    <w:rsid w:val="006670D6"/>
    <w:rsid w:val="0066718E"/>
    <w:rsid w:val="00671061"/>
    <w:rsid w:val="00672A2C"/>
    <w:rsid w:val="00675751"/>
    <w:rsid w:val="00675809"/>
    <w:rsid w:val="00676FE5"/>
    <w:rsid w:val="00681D6B"/>
    <w:rsid w:val="006856EF"/>
    <w:rsid w:val="00685DD6"/>
    <w:rsid w:val="00685E1F"/>
    <w:rsid w:val="00690825"/>
    <w:rsid w:val="00691192"/>
    <w:rsid w:val="00691249"/>
    <w:rsid w:val="0069278D"/>
    <w:rsid w:val="00694E7F"/>
    <w:rsid w:val="00696AAC"/>
    <w:rsid w:val="006A0369"/>
    <w:rsid w:val="006A0DF9"/>
    <w:rsid w:val="006A1418"/>
    <w:rsid w:val="006A30D1"/>
    <w:rsid w:val="006A6ABB"/>
    <w:rsid w:val="006B070C"/>
    <w:rsid w:val="006B2AE7"/>
    <w:rsid w:val="006B400C"/>
    <w:rsid w:val="006C0300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474B"/>
    <w:rsid w:val="006E0D8B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6DB6"/>
    <w:rsid w:val="00710463"/>
    <w:rsid w:val="00713569"/>
    <w:rsid w:val="007141F0"/>
    <w:rsid w:val="0071466A"/>
    <w:rsid w:val="007149B0"/>
    <w:rsid w:val="00716360"/>
    <w:rsid w:val="007176FB"/>
    <w:rsid w:val="00722485"/>
    <w:rsid w:val="00725E83"/>
    <w:rsid w:val="007279BB"/>
    <w:rsid w:val="0073031B"/>
    <w:rsid w:val="00731521"/>
    <w:rsid w:val="00733533"/>
    <w:rsid w:val="00735671"/>
    <w:rsid w:val="00742B23"/>
    <w:rsid w:val="00742C37"/>
    <w:rsid w:val="0074313F"/>
    <w:rsid w:val="00744133"/>
    <w:rsid w:val="0074674C"/>
    <w:rsid w:val="007467C4"/>
    <w:rsid w:val="007502BB"/>
    <w:rsid w:val="007506B6"/>
    <w:rsid w:val="0075117B"/>
    <w:rsid w:val="00751CEF"/>
    <w:rsid w:val="0075207B"/>
    <w:rsid w:val="007579A7"/>
    <w:rsid w:val="007601EB"/>
    <w:rsid w:val="00761D38"/>
    <w:rsid w:val="00764006"/>
    <w:rsid w:val="0076528B"/>
    <w:rsid w:val="00765E9E"/>
    <w:rsid w:val="007671CF"/>
    <w:rsid w:val="0076793A"/>
    <w:rsid w:val="00767AF2"/>
    <w:rsid w:val="00771B02"/>
    <w:rsid w:val="00773263"/>
    <w:rsid w:val="00773F6D"/>
    <w:rsid w:val="00774477"/>
    <w:rsid w:val="00774EE4"/>
    <w:rsid w:val="00777564"/>
    <w:rsid w:val="00781CC5"/>
    <w:rsid w:val="0078236C"/>
    <w:rsid w:val="007861E5"/>
    <w:rsid w:val="007919B7"/>
    <w:rsid w:val="00793254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343E"/>
    <w:rsid w:val="007C3BFE"/>
    <w:rsid w:val="007C7155"/>
    <w:rsid w:val="007D0E42"/>
    <w:rsid w:val="007D1F7B"/>
    <w:rsid w:val="007D3B79"/>
    <w:rsid w:val="007D42C5"/>
    <w:rsid w:val="007D504B"/>
    <w:rsid w:val="007E1165"/>
    <w:rsid w:val="007E3B01"/>
    <w:rsid w:val="007E5BFD"/>
    <w:rsid w:val="007E6D01"/>
    <w:rsid w:val="007E70D0"/>
    <w:rsid w:val="007F16AA"/>
    <w:rsid w:val="007F24A5"/>
    <w:rsid w:val="007F3CA0"/>
    <w:rsid w:val="007F76F2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B55"/>
    <w:rsid w:val="008212ED"/>
    <w:rsid w:val="00822576"/>
    <w:rsid w:val="0082299F"/>
    <w:rsid w:val="008245F6"/>
    <w:rsid w:val="0082766E"/>
    <w:rsid w:val="00827D0D"/>
    <w:rsid w:val="00830A49"/>
    <w:rsid w:val="00831203"/>
    <w:rsid w:val="00833731"/>
    <w:rsid w:val="00833F21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4198"/>
    <w:rsid w:val="008618D7"/>
    <w:rsid w:val="00865F37"/>
    <w:rsid w:val="00866BFD"/>
    <w:rsid w:val="00866DE4"/>
    <w:rsid w:val="008672DF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A2C"/>
    <w:rsid w:val="00890FFF"/>
    <w:rsid w:val="00891020"/>
    <w:rsid w:val="00891F80"/>
    <w:rsid w:val="00893279"/>
    <w:rsid w:val="00895AA0"/>
    <w:rsid w:val="0089662D"/>
    <w:rsid w:val="00896738"/>
    <w:rsid w:val="008A0DC0"/>
    <w:rsid w:val="008A229E"/>
    <w:rsid w:val="008A6EC7"/>
    <w:rsid w:val="008A6F29"/>
    <w:rsid w:val="008A7B28"/>
    <w:rsid w:val="008B0155"/>
    <w:rsid w:val="008B14EC"/>
    <w:rsid w:val="008B1537"/>
    <w:rsid w:val="008B2422"/>
    <w:rsid w:val="008B3A1D"/>
    <w:rsid w:val="008B3FB7"/>
    <w:rsid w:val="008B516C"/>
    <w:rsid w:val="008B5405"/>
    <w:rsid w:val="008B6F4B"/>
    <w:rsid w:val="008B7F0D"/>
    <w:rsid w:val="008C382A"/>
    <w:rsid w:val="008C62E5"/>
    <w:rsid w:val="008C6C73"/>
    <w:rsid w:val="008C6EBD"/>
    <w:rsid w:val="008D07E0"/>
    <w:rsid w:val="008D2819"/>
    <w:rsid w:val="008D49DD"/>
    <w:rsid w:val="008D7125"/>
    <w:rsid w:val="008D75EB"/>
    <w:rsid w:val="008E40E0"/>
    <w:rsid w:val="008E4DED"/>
    <w:rsid w:val="008E53BF"/>
    <w:rsid w:val="008E567E"/>
    <w:rsid w:val="008F1BAB"/>
    <w:rsid w:val="008F3860"/>
    <w:rsid w:val="008F3935"/>
    <w:rsid w:val="008F58BC"/>
    <w:rsid w:val="008F59EB"/>
    <w:rsid w:val="008F712E"/>
    <w:rsid w:val="008F7301"/>
    <w:rsid w:val="008F78D8"/>
    <w:rsid w:val="00901720"/>
    <w:rsid w:val="009023DE"/>
    <w:rsid w:val="0090272A"/>
    <w:rsid w:val="00903306"/>
    <w:rsid w:val="00904ABC"/>
    <w:rsid w:val="009104A8"/>
    <w:rsid w:val="00911110"/>
    <w:rsid w:val="0091295D"/>
    <w:rsid w:val="00920E79"/>
    <w:rsid w:val="009220E9"/>
    <w:rsid w:val="00925941"/>
    <w:rsid w:val="00927BDC"/>
    <w:rsid w:val="00930E95"/>
    <w:rsid w:val="00931464"/>
    <w:rsid w:val="00933BDB"/>
    <w:rsid w:val="0093403A"/>
    <w:rsid w:val="00937F80"/>
    <w:rsid w:val="009406EE"/>
    <w:rsid w:val="0094204A"/>
    <w:rsid w:val="0094574B"/>
    <w:rsid w:val="009512F2"/>
    <w:rsid w:val="00951E90"/>
    <w:rsid w:val="00953D37"/>
    <w:rsid w:val="009553F7"/>
    <w:rsid w:val="00955530"/>
    <w:rsid w:val="00955D5A"/>
    <w:rsid w:val="00955E53"/>
    <w:rsid w:val="009623C6"/>
    <w:rsid w:val="00962EB5"/>
    <w:rsid w:val="00963DE2"/>
    <w:rsid w:val="0096415C"/>
    <w:rsid w:val="00964B89"/>
    <w:rsid w:val="0096755C"/>
    <w:rsid w:val="00967971"/>
    <w:rsid w:val="00967BBF"/>
    <w:rsid w:val="0097173E"/>
    <w:rsid w:val="0097257D"/>
    <w:rsid w:val="00980AC9"/>
    <w:rsid w:val="009835F0"/>
    <w:rsid w:val="00983FEF"/>
    <w:rsid w:val="00984CC4"/>
    <w:rsid w:val="00985B9E"/>
    <w:rsid w:val="00986608"/>
    <w:rsid w:val="00986B89"/>
    <w:rsid w:val="009921C9"/>
    <w:rsid w:val="00992454"/>
    <w:rsid w:val="0099342D"/>
    <w:rsid w:val="00993D0E"/>
    <w:rsid w:val="009940D7"/>
    <w:rsid w:val="00996323"/>
    <w:rsid w:val="0099759A"/>
    <w:rsid w:val="009A1195"/>
    <w:rsid w:val="009A1A13"/>
    <w:rsid w:val="009A34A5"/>
    <w:rsid w:val="009A65B4"/>
    <w:rsid w:val="009A79FD"/>
    <w:rsid w:val="009A7C7B"/>
    <w:rsid w:val="009B13E4"/>
    <w:rsid w:val="009B1477"/>
    <w:rsid w:val="009B2AE7"/>
    <w:rsid w:val="009B64EC"/>
    <w:rsid w:val="009B6AE2"/>
    <w:rsid w:val="009C003D"/>
    <w:rsid w:val="009C1E20"/>
    <w:rsid w:val="009C33F1"/>
    <w:rsid w:val="009C42A1"/>
    <w:rsid w:val="009C64FE"/>
    <w:rsid w:val="009D0439"/>
    <w:rsid w:val="009D0455"/>
    <w:rsid w:val="009D0581"/>
    <w:rsid w:val="009D17BA"/>
    <w:rsid w:val="009D6810"/>
    <w:rsid w:val="009E1999"/>
    <w:rsid w:val="009E34B0"/>
    <w:rsid w:val="009E4F3C"/>
    <w:rsid w:val="009E6B79"/>
    <w:rsid w:val="009E6DDE"/>
    <w:rsid w:val="009F2AB7"/>
    <w:rsid w:val="009F3C98"/>
    <w:rsid w:val="009F666C"/>
    <w:rsid w:val="009F7654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F9F"/>
    <w:rsid w:val="00A1323B"/>
    <w:rsid w:val="00A1371C"/>
    <w:rsid w:val="00A147FC"/>
    <w:rsid w:val="00A15859"/>
    <w:rsid w:val="00A16B94"/>
    <w:rsid w:val="00A16CE0"/>
    <w:rsid w:val="00A174E0"/>
    <w:rsid w:val="00A21AC7"/>
    <w:rsid w:val="00A2220C"/>
    <w:rsid w:val="00A22A7C"/>
    <w:rsid w:val="00A22FA7"/>
    <w:rsid w:val="00A25379"/>
    <w:rsid w:val="00A25CF4"/>
    <w:rsid w:val="00A27B93"/>
    <w:rsid w:val="00A30A32"/>
    <w:rsid w:val="00A322F0"/>
    <w:rsid w:val="00A41547"/>
    <w:rsid w:val="00A41C58"/>
    <w:rsid w:val="00A42454"/>
    <w:rsid w:val="00A42ACF"/>
    <w:rsid w:val="00A43A66"/>
    <w:rsid w:val="00A45918"/>
    <w:rsid w:val="00A47206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FD0"/>
    <w:rsid w:val="00A640C9"/>
    <w:rsid w:val="00A640E1"/>
    <w:rsid w:val="00A665B8"/>
    <w:rsid w:val="00A670C9"/>
    <w:rsid w:val="00A67704"/>
    <w:rsid w:val="00A70ECC"/>
    <w:rsid w:val="00A71BEC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F68"/>
    <w:rsid w:val="00A94EEE"/>
    <w:rsid w:val="00A957DC"/>
    <w:rsid w:val="00AA01DE"/>
    <w:rsid w:val="00AA45A3"/>
    <w:rsid w:val="00AA49B7"/>
    <w:rsid w:val="00AA63A0"/>
    <w:rsid w:val="00AA6526"/>
    <w:rsid w:val="00AA69DF"/>
    <w:rsid w:val="00AA7C45"/>
    <w:rsid w:val="00AB2157"/>
    <w:rsid w:val="00AB39A3"/>
    <w:rsid w:val="00AB58DB"/>
    <w:rsid w:val="00AC02D7"/>
    <w:rsid w:val="00AC330A"/>
    <w:rsid w:val="00AD0493"/>
    <w:rsid w:val="00AD0DDB"/>
    <w:rsid w:val="00AD23CC"/>
    <w:rsid w:val="00AD3796"/>
    <w:rsid w:val="00AD5AFC"/>
    <w:rsid w:val="00AD73BF"/>
    <w:rsid w:val="00AE05E9"/>
    <w:rsid w:val="00AE10E6"/>
    <w:rsid w:val="00AE137E"/>
    <w:rsid w:val="00AE1EC4"/>
    <w:rsid w:val="00AE27B7"/>
    <w:rsid w:val="00AE532E"/>
    <w:rsid w:val="00AF0DFA"/>
    <w:rsid w:val="00AF34FF"/>
    <w:rsid w:val="00AF43DA"/>
    <w:rsid w:val="00AF5BFC"/>
    <w:rsid w:val="00AF7AB3"/>
    <w:rsid w:val="00AF7D9E"/>
    <w:rsid w:val="00B00486"/>
    <w:rsid w:val="00B02F85"/>
    <w:rsid w:val="00B03B65"/>
    <w:rsid w:val="00B03D62"/>
    <w:rsid w:val="00B10F33"/>
    <w:rsid w:val="00B121A2"/>
    <w:rsid w:val="00B1378B"/>
    <w:rsid w:val="00B14BBB"/>
    <w:rsid w:val="00B14FD7"/>
    <w:rsid w:val="00B15708"/>
    <w:rsid w:val="00B163CE"/>
    <w:rsid w:val="00B17AFE"/>
    <w:rsid w:val="00B215C7"/>
    <w:rsid w:val="00B21700"/>
    <w:rsid w:val="00B22E75"/>
    <w:rsid w:val="00B244D7"/>
    <w:rsid w:val="00B26E2B"/>
    <w:rsid w:val="00B273AD"/>
    <w:rsid w:val="00B32319"/>
    <w:rsid w:val="00B32CF6"/>
    <w:rsid w:val="00B35A89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3C6"/>
    <w:rsid w:val="00B50427"/>
    <w:rsid w:val="00B50AAF"/>
    <w:rsid w:val="00B51B12"/>
    <w:rsid w:val="00B5499E"/>
    <w:rsid w:val="00B55DC1"/>
    <w:rsid w:val="00B56A9C"/>
    <w:rsid w:val="00B57511"/>
    <w:rsid w:val="00B57AAB"/>
    <w:rsid w:val="00B60D83"/>
    <w:rsid w:val="00B61C91"/>
    <w:rsid w:val="00B64F48"/>
    <w:rsid w:val="00B665C3"/>
    <w:rsid w:val="00B70843"/>
    <w:rsid w:val="00B72183"/>
    <w:rsid w:val="00B75DF4"/>
    <w:rsid w:val="00B76AF4"/>
    <w:rsid w:val="00B77027"/>
    <w:rsid w:val="00B801F3"/>
    <w:rsid w:val="00B80603"/>
    <w:rsid w:val="00B81E34"/>
    <w:rsid w:val="00B824FE"/>
    <w:rsid w:val="00B834E2"/>
    <w:rsid w:val="00B872BE"/>
    <w:rsid w:val="00B87A90"/>
    <w:rsid w:val="00B87B68"/>
    <w:rsid w:val="00B904F1"/>
    <w:rsid w:val="00B9250D"/>
    <w:rsid w:val="00BA00CF"/>
    <w:rsid w:val="00BA0B90"/>
    <w:rsid w:val="00BA0D68"/>
    <w:rsid w:val="00BA1DC6"/>
    <w:rsid w:val="00BA28FA"/>
    <w:rsid w:val="00BA29FA"/>
    <w:rsid w:val="00BA602A"/>
    <w:rsid w:val="00BB04FF"/>
    <w:rsid w:val="00BB22D1"/>
    <w:rsid w:val="00BB3887"/>
    <w:rsid w:val="00BB3B76"/>
    <w:rsid w:val="00BB6259"/>
    <w:rsid w:val="00BB7C6F"/>
    <w:rsid w:val="00BC029E"/>
    <w:rsid w:val="00BC036D"/>
    <w:rsid w:val="00BC27BB"/>
    <w:rsid w:val="00BC5399"/>
    <w:rsid w:val="00BC5D88"/>
    <w:rsid w:val="00BD4BA5"/>
    <w:rsid w:val="00BD4BF3"/>
    <w:rsid w:val="00BD5302"/>
    <w:rsid w:val="00BE102A"/>
    <w:rsid w:val="00BE1BE6"/>
    <w:rsid w:val="00BE4854"/>
    <w:rsid w:val="00BE5CE9"/>
    <w:rsid w:val="00BF0004"/>
    <w:rsid w:val="00BF0A23"/>
    <w:rsid w:val="00BF1DE8"/>
    <w:rsid w:val="00BF2593"/>
    <w:rsid w:val="00BF7089"/>
    <w:rsid w:val="00BF77FD"/>
    <w:rsid w:val="00C00791"/>
    <w:rsid w:val="00C00CC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4EA"/>
    <w:rsid w:val="00C23D66"/>
    <w:rsid w:val="00C243BD"/>
    <w:rsid w:val="00C262B8"/>
    <w:rsid w:val="00C272DC"/>
    <w:rsid w:val="00C31E2C"/>
    <w:rsid w:val="00C33E5F"/>
    <w:rsid w:val="00C36DC5"/>
    <w:rsid w:val="00C3722A"/>
    <w:rsid w:val="00C4025D"/>
    <w:rsid w:val="00C40B71"/>
    <w:rsid w:val="00C41386"/>
    <w:rsid w:val="00C423D9"/>
    <w:rsid w:val="00C43FC7"/>
    <w:rsid w:val="00C47105"/>
    <w:rsid w:val="00C47252"/>
    <w:rsid w:val="00C52A37"/>
    <w:rsid w:val="00C536C6"/>
    <w:rsid w:val="00C54C85"/>
    <w:rsid w:val="00C632A9"/>
    <w:rsid w:val="00C653CD"/>
    <w:rsid w:val="00C65407"/>
    <w:rsid w:val="00C654AD"/>
    <w:rsid w:val="00C67898"/>
    <w:rsid w:val="00C7039A"/>
    <w:rsid w:val="00C71367"/>
    <w:rsid w:val="00C72401"/>
    <w:rsid w:val="00C73188"/>
    <w:rsid w:val="00C7621E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530E"/>
    <w:rsid w:val="00CA1C69"/>
    <w:rsid w:val="00CA1D9F"/>
    <w:rsid w:val="00CA3062"/>
    <w:rsid w:val="00CA31E6"/>
    <w:rsid w:val="00CA4D23"/>
    <w:rsid w:val="00CB2771"/>
    <w:rsid w:val="00CB2AB1"/>
    <w:rsid w:val="00CB72E5"/>
    <w:rsid w:val="00CC1C78"/>
    <w:rsid w:val="00CC2FD9"/>
    <w:rsid w:val="00CC4070"/>
    <w:rsid w:val="00CC467B"/>
    <w:rsid w:val="00CC6F89"/>
    <w:rsid w:val="00CD0138"/>
    <w:rsid w:val="00CD0C2E"/>
    <w:rsid w:val="00CD1F7D"/>
    <w:rsid w:val="00CD344D"/>
    <w:rsid w:val="00CD36F9"/>
    <w:rsid w:val="00CD654F"/>
    <w:rsid w:val="00CE3232"/>
    <w:rsid w:val="00CE4585"/>
    <w:rsid w:val="00CE56E1"/>
    <w:rsid w:val="00CF2541"/>
    <w:rsid w:val="00CF2D9C"/>
    <w:rsid w:val="00CF3482"/>
    <w:rsid w:val="00CF592B"/>
    <w:rsid w:val="00CF6DD1"/>
    <w:rsid w:val="00D06840"/>
    <w:rsid w:val="00D16BCD"/>
    <w:rsid w:val="00D210C4"/>
    <w:rsid w:val="00D2168C"/>
    <w:rsid w:val="00D25CD8"/>
    <w:rsid w:val="00D279F1"/>
    <w:rsid w:val="00D32A41"/>
    <w:rsid w:val="00D34427"/>
    <w:rsid w:val="00D34CB7"/>
    <w:rsid w:val="00D34CCD"/>
    <w:rsid w:val="00D37C84"/>
    <w:rsid w:val="00D4041B"/>
    <w:rsid w:val="00D40C6D"/>
    <w:rsid w:val="00D435FC"/>
    <w:rsid w:val="00D53480"/>
    <w:rsid w:val="00D53DFB"/>
    <w:rsid w:val="00D54153"/>
    <w:rsid w:val="00D55C61"/>
    <w:rsid w:val="00D56184"/>
    <w:rsid w:val="00D6224E"/>
    <w:rsid w:val="00D6318C"/>
    <w:rsid w:val="00D64A42"/>
    <w:rsid w:val="00D65666"/>
    <w:rsid w:val="00D67261"/>
    <w:rsid w:val="00D673E6"/>
    <w:rsid w:val="00D7468F"/>
    <w:rsid w:val="00D765C3"/>
    <w:rsid w:val="00D807C9"/>
    <w:rsid w:val="00D82FEB"/>
    <w:rsid w:val="00D83D60"/>
    <w:rsid w:val="00D841E6"/>
    <w:rsid w:val="00D84487"/>
    <w:rsid w:val="00D84667"/>
    <w:rsid w:val="00D87EE8"/>
    <w:rsid w:val="00D90DAC"/>
    <w:rsid w:val="00D91CD9"/>
    <w:rsid w:val="00D96CD7"/>
    <w:rsid w:val="00D97519"/>
    <w:rsid w:val="00DA1B96"/>
    <w:rsid w:val="00DA3674"/>
    <w:rsid w:val="00DA6A90"/>
    <w:rsid w:val="00DA70A8"/>
    <w:rsid w:val="00DA73D2"/>
    <w:rsid w:val="00DA795B"/>
    <w:rsid w:val="00DA7C94"/>
    <w:rsid w:val="00DB2BAD"/>
    <w:rsid w:val="00DC2106"/>
    <w:rsid w:val="00DC2717"/>
    <w:rsid w:val="00DC38D5"/>
    <w:rsid w:val="00DC508C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225D"/>
    <w:rsid w:val="00DE4D1E"/>
    <w:rsid w:val="00DE7196"/>
    <w:rsid w:val="00DF01FF"/>
    <w:rsid w:val="00DF0A5C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B27"/>
    <w:rsid w:val="00E03D80"/>
    <w:rsid w:val="00E06A2C"/>
    <w:rsid w:val="00E070C6"/>
    <w:rsid w:val="00E07716"/>
    <w:rsid w:val="00E1018A"/>
    <w:rsid w:val="00E123A8"/>
    <w:rsid w:val="00E148D6"/>
    <w:rsid w:val="00E15606"/>
    <w:rsid w:val="00E16787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20BB"/>
    <w:rsid w:val="00E32CED"/>
    <w:rsid w:val="00E34B87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AB6"/>
    <w:rsid w:val="00E62C00"/>
    <w:rsid w:val="00E63D1F"/>
    <w:rsid w:val="00E64863"/>
    <w:rsid w:val="00E7310E"/>
    <w:rsid w:val="00E7361F"/>
    <w:rsid w:val="00E73E7B"/>
    <w:rsid w:val="00E7418C"/>
    <w:rsid w:val="00E74666"/>
    <w:rsid w:val="00E76670"/>
    <w:rsid w:val="00E81624"/>
    <w:rsid w:val="00E83A4D"/>
    <w:rsid w:val="00E900FE"/>
    <w:rsid w:val="00E90503"/>
    <w:rsid w:val="00E9257D"/>
    <w:rsid w:val="00E92C38"/>
    <w:rsid w:val="00E93F27"/>
    <w:rsid w:val="00E945AE"/>
    <w:rsid w:val="00E94E49"/>
    <w:rsid w:val="00E958A0"/>
    <w:rsid w:val="00E967A9"/>
    <w:rsid w:val="00EA06E5"/>
    <w:rsid w:val="00EA51D2"/>
    <w:rsid w:val="00EA70EF"/>
    <w:rsid w:val="00EA7953"/>
    <w:rsid w:val="00EB1F8E"/>
    <w:rsid w:val="00EB49E8"/>
    <w:rsid w:val="00EB6C54"/>
    <w:rsid w:val="00EB742E"/>
    <w:rsid w:val="00EC0654"/>
    <w:rsid w:val="00EC10EE"/>
    <w:rsid w:val="00EC43AA"/>
    <w:rsid w:val="00EC61E1"/>
    <w:rsid w:val="00ED14CD"/>
    <w:rsid w:val="00ED3142"/>
    <w:rsid w:val="00ED70D7"/>
    <w:rsid w:val="00EE0BEF"/>
    <w:rsid w:val="00EE0EB2"/>
    <w:rsid w:val="00EE15BE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3000"/>
    <w:rsid w:val="00F03A3C"/>
    <w:rsid w:val="00F06DC3"/>
    <w:rsid w:val="00F13C36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3421"/>
    <w:rsid w:val="00F338D7"/>
    <w:rsid w:val="00F357B9"/>
    <w:rsid w:val="00F35DF6"/>
    <w:rsid w:val="00F35F03"/>
    <w:rsid w:val="00F41630"/>
    <w:rsid w:val="00F438F9"/>
    <w:rsid w:val="00F4668B"/>
    <w:rsid w:val="00F47F06"/>
    <w:rsid w:val="00F519F1"/>
    <w:rsid w:val="00F54CA0"/>
    <w:rsid w:val="00F56184"/>
    <w:rsid w:val="00F579E4"/>
    <w:rsid w:val="00F57C04"/>
    <w:rsid w:val="00F60F42"/>
    <w:rsid w:val="00F6247B"/>
    <w:rsid w:val="00F63037"/>
    <w:rsid w:val="00F64F36"/>
    <w:rsid w:val="00F659A6"/>
    <w:rsid w:val="00F66730"/>
    <w:rsid w:val="00F70E53"/>
    <w:rsid w:val="00F710EF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FDF"/>
    <w:rsid w:val="00F878AE"/>
    <w:rsid w:val="00F87A60"/>
    <w:rsid w:val="00F87B8D"/>
    <w:rsid w:val="00F90141"/>
    <w:rsid w:val="00F904C2"/>
    <w:rsid w:val="00F920AB"/>
    <w:rsid w:val="00F97136"/>
    <w:rsid w:val="00FA263C"/>
    <w:rsid w:val="00FA38D1"/>
    <w:rsid w:val="00FA418C"/>
    <w:rsid w:val="00FA6608"/>
    <w:rsid w:val="00FB097F"/>
    <w:rsid w:val="00FB7150"/>
    <w:rsid w:val="00FB7479"/>
    <w:rsid w:val="00FC0868"/>
    <w:rsid w:val="00FC19C5"/>
    <w:rsid w:val="00FC7DCD"/>
    <w:rsid w:val="00FD15B7"/>
    <w:rsid w:val="00FD1D35"/>
    <w:rsid w:val="00FD559D"/>
    <w:rsid w:val="00FD6FA7"/>
    <w:rsid w:val="00FE0DB8"/>
    <w:rsid w:val="00FE0E60"/>
    <w:rsid w:val="00FE27B4"/>
    <w:rsid w:val="00FE2E8B"/>
    <w:rsid w:val="00FE34A1"/>
    <w:rsid w:val="00FE44DF"/>
    <w:rsid w:val="00FE55C2"/>
    <w:rsid w:val="00FE5FA9"/>
    <w:rsid w:val="00FF16D8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DC53-A6AE-4A3F-88B8-54EF84E1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717</cp:revision>
  <cp:lastPrinted>2018-09-25T13:05:00Z</cp:lastPrinted>
  <dcterms:created xsi:type="dcterms:W3CDTF">2018-06-14T05:04:00Z</dcterms:created>
  <dcterms:modified xsi:type="dcterms:W3CDTF">2018-11-05T08:41:00Z</dcterms:modified>
</cp:coreProperties>
</file>