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EEC9" w14:textId="77777777" w:rsidR="000F039C" w:rsidRDefault="000F039C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 w:rsidRPr="00534318">
        <w:rPr>
          <w:rFonts w:cs="Arial"/>
          <w:b/>
          <w:sz w:val="28"/>
          <w:szCs w:val="28"/>
        </w:rPr>
        <w:t xml:space="preserve">TGW </w:t>
      </w:r>
      <w:r w:rsidR="00F233F6" w:rsidRPr="00534318">
        <w:rPr>
          <w:rFonts w:cs="Arial"/>
          <w:b/>
          <w:sz w:val="28"/>
          <w:szCs w:val="28"/>
        </w:rPr>
        <w:t>erzielt</w:t>
      </w:r>
      <w:r w:rsidR="0058474C" w:rsidRPr="00534318">
        <w:rPr>
          <w:rFonts w:cs="Arial"/>
          <w:b/>
          <w:sz w:val="28"/>
          <w:szCs w:val="28"/>
        </w:rPr>
        <w:t xml:space="preserve"> </w:t>
      </w:r>
      <w:r w:rsidR="00534318" w:rsidRPr="00534318">
        <w:rPr>
          <w:rFonts w:cs="Arial"/>
          <w:b/>
          <w:sz w:val="28"/>
          <w:szCs w:val="28"/>
        </w:rPr>
        <w:t>höchsten Umsatz der</w:t>
      </w:r>
      <w:r w:rsidR="00534318">
        <w:rPr>
          <w:rFonts w:cs="Arial"/>
          <w:b/>
          <w:sz w:val="28"/>
          <w:szCs w:val="28"/>
        </w:rPr>
        <w:t xml:space="preserve"> Unternehmensgeschichte</w:t>
      </w:r>
    </w:p>
    <w:p w14:paraId="61F5736D" w14:textId="77777777" w:rsidR="00E95184" w:rsidRPr="004F27BE" w:rsidRDefault="00E95184" w:rsidP="000F039C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</w:p>
    <w:p w14:paraId="205A17B5" w14:textId="77777777" w:rsidR="00E63E18" w:rsidRPr="00DD1EC2" w:rsidRDefault="000F039C" w:rsidP="00C31CEB">
      <w:pPr>
        <w:pStyle w:val="Listenabsatz"/>
        <w:numPr>
          <w:ilvl w:val="0"/>
          <w:numId w:val="24"/>
        </w:numPr>
        <w:ind w:right="1268"/>
        <w:rPr>
          <w:rFonts w:cs="Arial"/>
          <w:b/>
          <w:sz w:val="22"/>
        </w:rPr>
      </w:pPr>
      <w:r w:rsidRPr="00DD1EC2">
        <w:rPr>
          <w:rFonts w:cs="Arial"/>
          <w:b/>
          <w:sz w:val="22"/>
        </w:rPr>
        <w:t>Umsatz</w:t>
      </w:r>
      <w:r w:rsidR="00004D39" w:rsidRPr="00DD1EC2">
        <w:rPr>
          <w:rFonts w:cs="Arial"/>
          <w:b/>
          <w:sz w:val="22"/>
        </w:rPr>
        <w:t xml:space="preserve"> </w:t>
      </w:r>
      <w:r w:rsidR="00E14AA9" w:rsidRPr="00DD1EC2">
        <w:rPr>
          <w:rFonts w:cs="Arial"/>
          <w:b/>
          <w:sz w:val="22"/>
        </w:rPr>
        <w:t>wächst</w:t>
      </w:r>
      <w:r w:rsidRPr="00DD1EC2">
        <w:rPr>
          <w:rFonts w:cs="Arial"/>
          <w:b/>
          <w:sz w:val="22"/>
        </w:rPr>
        <w:t xml:space="preserve"> auf </w:t>
      </w:r>
      <w:r w:rsidR="00E51187" w:rsidRPr="00DD1EC2">
        <w:rPr>
          <w:rFonts w:cs="Arial"/>
          <w:b/>
          <w:sz w:val="22"/>
        </w:rPr>
        <w:t>835</w:t>
      </w:r>
      <w:r w:rsidR="005B6D02" w:rsidRPr="00DD1EC2">
        <w:rPr>
          <w:rFonts w:cs="Arial"/>
          <w:b/>
          <w:sz w:val="22"/>
        </w:rPr>
        <w:t>,</w:t>
      </w:r>
      <w:r w:rsidR="00E51187" w:rsidRPr="00DD1EC2">
        <w:rPr>
          <w:rFonts w:cs="Arial"/>
          <w:b/>
          <w:sz w:val="22"/>
        </w:rPr>
        <w:t>8</w:t>
      </w:r>
      <w:r w:rsidRPr="00DD1EC2">
        <w:rPr>
          <w:rFonts w:cs="Arial"/>
          <w:b/>
          <w:sz w:val="22"/>
        </w:rPr>
        <w:t xml:space="preserve"> Millionen Euro</w:t>
      </w:r>
      <w:r w:rsidR="00262DB4" w:rsidRPr="00DD1EC2">
        <w:rPr>
          <w:rFonts w:cs="Arial"/>
          <w:b/>
          <w:sz w:val="22"/>
        </w:rPr>
        <w:t xml:space="preserve"> und erreicht einen</w:t>
      </w:r>
      <w:r w:rsidR="00DD1EC2">
        <w:rPr>
          <w:rFonts w:cs="Arial"/>
          <w:b/>
          <w:sz w:val="22"/>
        </w:rPr>
        <w:t xml:space="preserve"> </w:t>
      </w:r>
      <w:r w:rsidR="00981B55">
        <w:rPr>
          <w:rFonts w:cs="Arial"/>
          <w:b/>
          <w:sz w:val="22"/>
        </w:rPr>
        <w:br/>
      </w:r>
      <w:r w:rsidR="00DD1EC2">
        <w:rPr>
          <w:rFonts w:cs="Arial"/>
          <w:b/>
          <w:sz w:val="22"/>
        </w:rPr>
        <w:t>neuen</w:t>
      </w:r>
      <w:r w:rsidR="00262DB4" w:rsidRPr="00DD1EC2">
        <w:rPr>
          <w:rFonts w:cs="Arial"/>
          <w:b/>
          <w:sz w:val="22"/>
        </w:rPr>
        <w:t xml:space="preserve"> </w:t>
      </w:r>
      <w:r w:rsidR="00232132">
        <w:rPr>
          <w:rFonts w:cs="Arial"/>
          <w:b/>
          <w:sz w:val="22"/>
        </w:rPr>
        <w:t>Höchstwert</w:t>
      </w:r>
      <w:r w:rsidR="00262DB4" w:rsidRPr="00DD1EC2">
        <w:rPr>
          <w:rFonts w:cs="Arial"/>
          <w:b/>
          <w:sz w:val="22"/>
        </w:rPr>
        <w:t xml:space="preserve"> in der 50-jährigen Unternehmensgeschichte</w:t>
      </w:r>
    </w:p>
    <w:p w14:paraId="3B4C3EF0" w14:textId="77777777" w:rsidR="001A08BF" w:rsidRPr="001A08BF" w:rsidRDefault="00142D57" w:rsidP="00C31CEB">
      <w:pPr>
        <w:pStyle w:val="Listenabsatz"/>
        <w:numPr>
          <w:ilvl w:val="0"/>
          <w:numId w:val="24"/>
        </w:numPr>
        <w:ind w:right="1268"/>
        <w:rPr>
          <w:rFonts w:cs="Arial"/>
          <w:b/>
          <w:szCs w:val="20"/>
        </w:rPr>
      </w:pPr>
      <w:r w:rsidRPr="00DD1EC2">
        <w:rPr>
          <w:rFonts w:cs="Arial"/>
          <w:b/>
          <w:sz w:val="22"/>
        </w:rPr>
        <w:t xml:space="preserve">Mitarbeiterzahl </w:t>
      </w:r>
      <w:r w:rsidR="00C639CE">
        <w:rPr>
          <w:rFonts w:cs="Arial"/>
          <w:b/>
          <w:sz w:val="22"/>
        </w:rPr>
        <w:t>steigt um 250 auf</w:t>
      </w:r>
      <w:r w:rsidRPr="00DD1EC2">
        <w:rPr>
          <w:rFonts w:cs="Arial"/>
          <w:b/>
          <w:sz w:val="22"/>
        </w:rPr>
        <w:t xml:space="preserve"> 3.667</w:t>
      </w:r>
      <w:r w:rsidRPr="00630BA8">
        <w:rPr>
          <w:rFonts w:cs="Arial"/>
          <w:b/>
          <w:sz w:val="18"/>
          <w:szCs w:val="18"/>
        </w:rPr>
        <w:t xml:space="preserve"> (Stand: 30. Juni 2020)</w:t>
      </w:r>
    </w:p>
    <w:p w14:paraId="77176243" w14:textId="77777777" w:rsidR="00C31CEB" w:rsidRPr="00C31CEB" w:rsidRDefault="00C31CEB" w:rsidP="00C31CEB">
      <w:pPr>
        <w:pStyle w:val="Listenabsatz"/>
        <w:numPr>
          <w:ilvl w:val="0"/>
          <w:numId w:val="24"/>
        </w:numPr>
        <w:ind w:right="1268"/>
        <w:rPr>
          <w:rFonts w:cs="Arial"/>
          <w:b/>
          <w:szCs w:val="20"/>
        </w:rPr>
      </w:pPr>
      <w:r w:rsidRPr="00C31CEB">
        <w:rPr>
          <w:rFonts w:cs="Arial"/>
          <w:b/>
          <w:sz w:val="22"/>
        </w:rPr>
        <w:t xml:space="preserve">Im laufenden Geschäftsjahr nimmt TGW mehr als 400 </w:t>
      </w:r>
      <w:r w:rsidR="00BF32C0">
        <w:rPr>
          <w:rFonts w:cs="Arial"/>
          <w:b/>
          <w:sz w:val="22"/>
        </w:rPr>
        <w:br/>
      </w:r>
      <w:r w:rsidRPr="00C31CEB">
        <w:rPr>
          <w:rFonts w:cs="Arial"/>
          <w:b/>
          <w:sz w:val="22"/>
        </w:rPr>
        <w:t>neue Mitarbeiter auf</w:t>
      </w:r>
    </w:p>
    <w:p w14:paraId="5721A5D1" w14:textId="77777777" w:rsidR="007F66BF" w:rsidRPr="00DD1EC2" w:rsidRDefault="007F66BF" w:rsidP="00C31CEB">
      <w:pPr>
        <w:pStyle w:val="Listenabsatz"/>
        <w:numPr>
          <w:ilvl w:val="0"/>
          <w:numId w:val="24"/>
        </w:numPr>
        <w:ind w:right="1268"/>
        <w:rPr>
          <w:rFonts w:cs="Arial"/>
          <w:b/>
          <w:sz w:val="22"/>
        </w:rPr>
      </w:pPr>
      <w:r w:rsidRPr="00DD1EC2">
        <w:rPr>
          <w:rFonts w:cs="Arial"/>
          <w:b/>
          <w:sz w:val="22"/>
        </w:rPr>
        <w:t xml:space="preserve">EBIT </w:t>
      </w:r>
      <w:r w:rsidR="00573A73">
        <w:rPr>
          <w:rFonts w:cs="Arial"/>
          <w:b/>
          <w:sz w:val="22"/>
        </w:rPr>
        <w:t>erhöht sich</w:t>
      </w:r>
      <w:r w:rsidRPr="00DD1EC2">
        <w:rPr>
          <w:rFonts w:cs="Arial"/>
          <w:b/>
          <w:sz w:val="22"/>
        </w:rPr>
        <w:t xml:space="preserve"> auf </w:t>
      </w:r>
      <w:r w:rsidR="00AA1E37">
        <w:rPr>
          <w:rFonts w:cs="Arial"/>
          <w:b/>
          <w:sz w:val="22"/>
        </w:rPr>
        <w:t>37,1</w:t>
      </w:r>
      <w:r w:rsidRPr="00DD1EC2">
        <w:rPr>
          <w:rFonts w:cs="Arial"/>
          <w:b/>
          <w:sz w:val="22"/>
        </w:rPr>
        <w:t xml:space="preserve"> Millionen Euro</w:t>
      </w:r>
    </w:p>
    <w:p w14:paraId="40E317F8" w14:textId="77777777" w:rsidR="002D4595" w:rsidRDefault="002D4595" w:rsidP="00A9753C">
      <w:pPr>
        <w:tabs>
          <w:tab w:val="left" w:pos="2514"/>
          <w:tab w:val="left" w:pos="7797"/>
        </w:tabs>
        <w:ind w:right="1693"/>
        <w:rPr>
          <w:rFonts w:cs="Arial"/>
          <w:b/>
          <w:szCs w:val="20"/>
        </w:rPr>
      </w:pPr>
    </w:p>
    <w:p w14:paraId="631B6526" w14:textId="77777777" w:rsidR="0052724A" w:rsidRDefault="00A93BE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5225DC">
        <w:rPr>
          <w:rFonts w:cs="Arial"/>
          <w:b/>
          <w:szCs w:val="20"/>
        </w:rPr>
        <w:t>25</w:t>
      </w:r>
      <w:r>
        <w:rPr>
          <w:rFonts w:cs="Arial"/>
          <w:b/>
          <w:szCs w:val="20"/>
        </w:rPr>
        <w:t xml:space="preserve">. </w:t>
      </w:r>
      <w:r w:rsidR="00E51187">
        <w:rPr>
          <w:rFonts w:cs="Arial"/>
          <w:b/>
          <w:szCs w:val="20"/>
        </w:rPr>
        <w:t>September 2020</w:t>
      </w:r>
      <w:r>
        <w:rPr>
          <w:rFonts w:cs="Arial"/>
          <w:b/>
          <w:szCs w:val="20"/>
        </w:rPr>
        <w:t xml:space="preserve">) </w:t>
      </w:r>
      <w:r w:rsidR="000F039C">
        <w:rPr>
          <w:rFonts w:cs="Arial"/>
          <w:b/>
          <w:szCs w:val="20"/>
        </w:rPr>
        <w:t>Die TGW Logistics Group mit Sitz in Marchtr</w:t>
      </w:r>
      <w:r w:rsidR="006328BC">
        <w:rPr>
          <w:rFonts w:cs="Arial"/>
          <w:b/>
          <w:szCs w:val="20"/>
        </w:rPr>
        <w:t>enk hat das Wirtschaftsjahr 20</w:t>
      </w:r>
      <w:r w:rsidR="00E51187">
        <w:rPr>
          <w:rFonts w:cs="Arial"/>
          <w:b/>
          <w:szCs w:val="20"/>
        </w:rPr>
        <w:t>19</w:t>
      </w:r>
      <w:r w:rsidR="006328BC">
        <w:rPr>
          <w:rFonts w:cs="Arial"/>
          <w:b/>
          <w:szCs w:val="20"/>
        </w:rPr>
        <w:t>/20</w:t>
      </w:r>
      <w:r w:rsidR="00E51187">
        <w:rPr>
          <w:rFonts w:cs="Arial"/>
          <w:b/>
          <w:szCs w:val="20"/>
        </w:rPr>
        <w:t>20</w:t>
      </w:r>
      <w:r w:rsidR="000F039C">
        <w:rPr>
          <w:rFonts w:cs="Arial"/>
          <w:b/>
          <w:szCs w:val="20"/>
        </w:rPr>
        <w:t xml:space="preserve"> </w:t>
      </w:r>
      <w:r w:rsidR="00AE33BF">
        <w:rPr>
          <w:rFonts w:cs="Arial"/>
          <w:b/>
          <w:szCs w:val="20"/>
        </w:rPr>
        <w:t>(1. Juli 201</w:t>
      </w:r>
      <w:r w:rsidR="00151856">
        <w:rPr>
          <w:rFonts w:cs="Arial"/>
          <w:b/>
          <w:szCs w:val="20"/>
        </w:rPr>
        <w:t>9</w:t>
      </w:r>
      <w:r w:rsidR="00AE33BF">
        <w:rPr>
          <w:rFonts w:cs="Arial"/>
          <w:b/>
          <w:szCs w:val="20"/>
        </w:rPr>
        <w:t xml:space="preserve"> bis 30. Juni 20</w:t>
      </w:r>
      <w:r w:rsidR="00151856">
        <w:rPr>
          <w:rFonts w:cs="Arial"/>
          <w:b/>
          <w:szCs w:val="20"/>
        </w:rPr>
        <w:t>20</w:t>
      </w:r>
      <w:r w:rsidR="00AE33BF">
        <w:rPr>
          <w:rFonts w:cs="Arial"/>
          <w:b/>
          <w:szCs w:val="20"/>
        </w:rPr>
        <w:t xml:space="preserve">) </w:t>
      </w:r>
      <w:r w:rsidR="000F039C">
        <w:rPr>
          <w:rFonts w:cs="Arial"/>
          <w:b/>
          <w:szCs w:val="20"/>
        </w:rPr>
        <w:t xml:space="preserve">erfolgreich abgeschlossen. </w:t>
      </w:r>
      <w:r w:rsidR="00314FF1">
        <w:rPr>
          <w:rFonts w:cs="Arial"/>
          <w:b/>
          <w:szCs w:val="20"/>
        </w:rPr>
        <w:t>Der Umsatz</w:t>
      </w:r>
      <w:r w:rsidR="002A540B">
        <w:rPr>
          <w:rFonts w:cs="Arial"/>
          <w:b/>
          <w:szCs w:val="20"/>
        </w:rPr>
        <w:t xml:space="preserve"> des</w:t>
      </w:r>
      <w:r w:rsidR="00E04292">
        <w:rPr>
          <w:rFonts w:cs="Arial"/>
          <w:b/>
          <w:szCs w:val="20"/>
        </w:rPr>
        <w:t xml:space="preserve"> international tätigen</w:t>
      </w:r>
      <w:r w:rsidR="002A540B">
        <w:rPr>
          <w:rFonts w:cs="Arial"/>
          <w:b/>
          <w:szCs w:val="20"/>
        </w:rPr>
        <w:t xml:space="preserve"> Intralogistik-Spezialisten</w:t>
      </w:r>
      <w:r w:rsidR="00314FF1">
        <w:rPr>
          <w:rFonts w:cs="Arial"/>
          <w:b/>
          <w:szCs w:val="20"/>
        </w:rPr>
        <w:t xml:space="preserve"> wuchs </w:t>
      </w:r>
      <w:r w:rsidR="00F33239">
        <w:rPr>
          <w:rFonts w:cs="Arial"/>
          <w:b/>
          <w:szCs w:val="20"/>
        </w:rPr>
        <w:t xml:space="preserve">von 719 </w:t>
      </w:r>
      <w:r w:rsidR="005B6D02">
        <w:rPr>
          <w:rFonts w:cs="Arial"/>
          <w:b/>
          <w:szCs w:val="20"/>
        </w:rPr>
        <w:t xml:space="preserve">auf </w:t>
      </w:r>
      <w:r w:rsidR="00AB6032">
        <w:rPr>
          <w:rFonts w:cs="Arial"/>
          <w:b/>
          <w:szCs w:val="20"/>
        </w:rPr>
        <w:t>835,</w:t>
      </w:r>
      <w:r w:rsidR="002E11B2">
        <w:rPr>
          <w:rFonts w:cs="Arial"/>
          <w:b/>
          <w:szCs w:val="20"/>
        </w:rPr>
        <w:t>8</w:t>
      </w:r>
      <w:r w:rsidR="00AB6032">
        <w:rPr>
          <w:rFonts w:cs="Arial"/>
          <w:b/>
          <w:szCs w:val="20"/>
        </w:rPr>
        <w:t xml:space="preserve"> Millionen Euro</w:t>
      </w:r>
      <w:r w:rsidR="001D6FB0">
        <w:rPr>
          <w:rFonts w:cs="Arial"/>
          <w:b/>
          <w:szCs w:val="20"/>
        </w:rPr>
        <w:t>.</w:t>
      </w:r>
      <w:r w:rsidR="00AB6032">
        <w:rPr>
          <w:rFonts w:cs="Arial"/>
          <w:b/>
          <w:szCs w:val="20"/>
        </w:rPr>
        <w:t xml:space="preserve"> </w:t>
      </w:r>
      <w:r w:rsidR="00C7514E">
        <w:rPr>
          <w:rFonts w:cs="Arial"/>
          <w:b/>
          <w:szCs w:val="20"/>
        </w:rPr>
        <w:t xml:space="preserve">Damit </w:t>
      </w:r>
      <w:r w:rsidR="00F11B68">
        <w:rPr>
          <w:rFonts w:cs="Arial"/>
          <w:b/>
          <w:szCs w:val="20"/>
        </w:rPr>
        <w:t>kann</w:t>
      </w:r>
      <w:r w:rsidR="00C7514E">
        <w:rPr>
          <w:rFonts w:cs="Arial"/>
          <w:b/>
          <w:szCs w:val="20"/>
        </w:rPr>
        <w:t xml:space="preserve"> </w:t>
      </w:r>
      <w:r w:rsidR="00460E31">
        <w:rPr>
          <w:rFonts w:cs="Arial"/>
          <w:b/>
          <w:szCs w:val="20"/>
        </w:rPr>
        <w:t>sich das</w:t>
      </w:r>
      <w:r w:rsidR="00C7514E">
        <w:rPr>
          <w:rFonts w:cs="Arial"/>
          <w:b/>
          <w:szCs w:val="20"/>
        </w:rPr>
        <w:t xml:space="preserve"> Unternehmen </w:t>
      </w:r>
      <w:r w:rsidR="00460E31">
        <w:rPr>
          <w:rFonts w:cs="Arial"/>
          <w:b/>
          <w:szCs w:val="20"/>
        </w:rPr>
        <w:t xml:space="preserve">über </w:t>
      </w:r>
      <w:r w:rsidR="00232132">
        <w:rPr>
          <w:rFonts w:cs="Arial"/>
          <w:b/>
          <w:szCs w:val="20"/>
        </w:rPr>
        <w:t>einen neuen Rekord</w:t>
      </w:r>
      <w:r w:rsidR="00FC53E9">
        <w:rPr>
          <w:rFonts w:cs="Arial"/>
          <w:b/>
          <w:szCs w:val="20"/>
        </w:rPr>
        <w:t>wert</w:t>
      </w:r>
      <w:r w:rsidR="004642BC">
        <w:rPr>
          <w:rFonts w:cs="Arial"/>
          <w:b/>
          <w:szCs w:val="20"/>
        </w:rPr>
        <w:t xml:space="preserve"> in seiner 50-jährigen Geschichte</w:t>
      </w:r>
      <w:r w:rsidR="00C7514E">
        <w:rPr>
          <w:rFonts w:cs="Arial"/>
          <w:b/>
          <w:szCs w:val="20"/>
        </w:rPr>
        <w:t xml:space="preserve"> </w:t>
      </w:r>
      <w:r w:rsidR="00FD6EF7">
        <w:rPr>
          <w:rFonts w:cs="Arial"/>
          <w:b/>
          <w:szCs w:val="20"/>
        </w:rPr>
        <w:t>freuen</w:t>
      </w:r>
      <w:r w:rsidR="0052724A">
        <w:rPr>
          <w:rFonts w:cs="Arial"/>
          <w:b/>
          <w:szCs w:val="20"/>
        </w:rPr>
        <w:t xml:space="preserve">. </w:t>
      </w:r>
      <w:r w:rsidR="002470F9">
        <w:rPr>
          <w:rFonts w:cs="Arial"/>
          <w:b/>
          <w:szCs w:val="20"/>
        </w:rPr>
        <w:t>Auch die Zahl der Mitarbeiter wuchs</w:t>
      </w:r>
      <w:r w:rsidR="001E064D">
        <w:rPr>
          <w:rFonts w:cs="Arial"/>
          <w:b/>
          <w:szCs w:val="20"/>
        </w:rPr>
        <w:t xml:space="preserve"> stark</w:t>
      </w:r>
      <w:r w:rsidR="002470F9">
        <w:rPr>
          <w:rFonts w:cs="Arial"/>
          <w:b/>
          <w:szCs w:val="20"/>
        </w:rPr>
        <w:t xml:space="preserve"> – und zwar um mehr als 250 auf 3.667. </w:t>
      </w:r>
      <w:r w:rsidR="0052724A">
        <w:rPr>
          <w:rFonts w:cs="Arial"/>
          <w:b/>
          <w:szCs w:val="20"/>
        </w:rPr>
        <w:t>Der Wachstumskur</w:t>
      </w:r>
      <w:r w:rsidR="00EB1C97">
        <w:rPr>
          <w:rFonts w:cs="Arial"/>
          <w:b/>
          <w:szCs w:val="20"/>
        </w:rPr>
        <w:t>s</w:t>
      </w:r>
      <w:r w:rsidR="0052724A">
        <w:rPr>
          <w:rFonts w:cs="Arial"/>
          <w:b/>
          <w:szCs w:val="20"/>
        </w:rPr>
        <w:t xml:space="preserve"> </w:t>
      </w:r>
      <w:r w:rsidR="00CD5076">
        <w:rPr>
          <w:rFonts w:cs="Arial"/>
          <w:b/>
          <w:szCs w:val="20"/>
        </w:rPr>
        <w:t xml:space="preserve">der letzten Jahre </w:t>
      </w:r>
      <w:r w:rsidR="0052724A">
        <w:rPr>
          <w:rFonts w:cs="Arial"/>
          <w:b/>
          <w:szCs w:val="20"/>
        </w:rPr>
        <w:t xml:space="preserve">wird damit </w:t>
      </w:r>
      <w:r w:rsidR="00CD5076">
        <w:rPr>
          <w:rFonts w:cs="Arial"/>
          <w:b/>
          <w:szCs w:val="20"/>
        </w:rPr>
        <w:t xml:space="preserve">nachhaltig </w:t>
      </w:r>
      <w:r w:rsidR="0052724A">
        <w:rPr>
          <w:rFonts w:cs="Arial"/>
          <w:b/>
          <w:szCs w:val="20"/>
        </w:rPr>
        <w:t>fortgesetzt.</w:t>
      </w:r>
    </w:p>
    <w:p w14:paraId="2D045DC3" w14:textId="77777777" w:rsidR="00A93BE5" w:rsidRPr="004D52DA" w:rsidRDefault="00A93BE5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B8DDE74" w14:textId="77777777" w:rsidR="00F23766" w:rsidRDefault="00314FF1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 </w:t>
      </w:r>
      <w:r w:rsidR="007076E0">
        <w:rPr>
          <w:rFonts w:cs="Arial"/>
          <w:szCs w:val="20"/>
        </w:rPr>
        <w:t>Wirtschaftsjahr</w:t>
      </w:r>
      <w:r>
        <w:rPr>
          <w:rFonts w:cs="Arial"/>
          <w:szCs w:val="20"/>
        </w:rPr>
        <w:t xml:space="preserve"> </w:t>
      </w:r>
      <w:r w:rsidR="00E14AA9">
        <w:rPr>
          <w:rFonts w:cs="Arial"/>
          <w:szCs w:val="20"/>
        </w:rPr>
        <w:t>20</w:t>
      </w:r>
      <w:r w:rsidR="004646A3">
        <w:rPr>
          <w:rFonts w:cs="Arial"/>
          <w:szCs w:val="20"/>
        </w:rPr>
        <w:t>19</w:t>
      </w:r>
      <w:r w:rsidR="00E14AA9">
        <w:rPr>
          <w:rFonts w:cs="Arial"/>
          <w:szCs w:val="20"/>
        </w:rPr>
        <w:t>/</w:t>
      </w:r>
      <w:r w:rsidR="004646A3">
        <w:rPr>
          <w:rFonts w:cs="Arial"/>
          <w:szCs w:val="20"/>
        </w:rPr>
        <w:t>20</w:t>
      </w:r>
      <w:r w:rsidR="00E14AA9">
        <w:rPr>
          <w:rFonts w:cs="Arial"/>
          <w:szCs w:val="20"/>
        </w:rPr>
        <w:t xml:space="preserve"> </w:t>
      </w:r>
      <w:r w:rsidR="00465E2E">
        <w:rPr>
          <w:rFonts w:cs="Arial"/>
          <w:szCs w:val="20"/>
        </w:rPr>
        <w:t>verbuchte</w:t>
      </w:r>
      <w:r w:rsidR="00EC6426">
        <w:rPr>
          <w:rFonts w:cs="Arial"/>
          <w:szCs w:val="20"/>
        </w:rPr>
        <w:t xml:space="preserve"> Intralogistik-Spezialist</w:t>
      </w:r>
      <w:r w:rsidR="00465E2E">
        <w:rPr>
          <w:rFonts w:cs="Arial"/>
          <w:szCs w:val="20"/>
        </w:rPr>
        <w:t xml:space="preserve"> </w:t>
      </w:r>
      <w:r w:rsidR="001E064D">
        <w:rPr>
          <w:rFonts w:cs="Arial"/>
          <w:szCs w:val="20"/>
        </w:rPr>
        <w:t xml:space="preserve">TGW </w:t>
      </w:r>
      <w:r w:rsidR="00465E2E">
        <w:rPr>
          <w:rFonts w:cs="Arial"/>
          <w:szCs w:val="20"/>
        </w:rPr>
        <w:t>Auftragseingänge</w:t>
      </w:r>
      <w:r w:rsidR="004646A3">
        <w:rPr>
          <w:rFonts w:cs="Arial"/>
          <w:szCs w:val="20"/>
        </w:rPr>
        <w:t xml:space="preserve"> mit einem Gesamtvolumen von </w:t>
      </w:r>
      <w:r w:rsidR="00CC3CF1">
        <w:rPr>
          <w:rFonts w:cs="Arial"/>
          <w:szCs w:val="20"/>
        </w:rPr>
        <w:t>822</w:t>
      </w:r>
      <w:r>
        <w:rPr>
          <w:rFonts w:cs="Arial"/>
          <w:szCs w:val="20"/>
        </w:rPr>
        <w:t xml:space="preserve"> Millionen Euro</w:t>
      </w:r>
      <w:r w:rsidR="00BC2BFD">
        <w:rPr>
          <w:rFonts w:cs="Arial"/>
          <w:szCs w:val="20"/>
        </w:rPr>
        <w:t xml:space="preserve"> </w:t>
      </w:r>
      <w:r w:rsidR="00F85C25">
        <w:rPr>
          <w:rFonts w:cs="Arial"/>
          <w:szCs w:val="20"/>
        </w:rPr>
        <w:t>– in Europa, den USA und China</w:t>
      </w:r>
      <w:r w:rsidR="00F23766">
        <w:rPr>
          <w:rFonts w:cs="Arial"/>
          <w:szCs w:val="20"/>
        </w:rPr>
        <w:t xml:space="preserve">. Harald Schröpf, CEO der TGW Logistics Group, </w:t>
      </w:r>
      <w:r w:rsidR="0024166E">
        <w:rPr>
          <w:rFonts w:cs="Arial"/>
          <w:szCs w:val="20"/>
        </w:rPr>
        <w:t>unterstreicht</w:t>
      </w:r>
      <w:r w:rsidR="00F23766">
        <w:rPr>
          <w:rFonts w:cs="Arial"/>
          <w:szCs w:val="20"/>
        </w:rPr>
        <w:t>:</w:t>
      </w:r>
    </w:p>
    <w:p w14:paraId="2C9BCF19" w14:textId="77777777" w:rsidR="00F23766" w:rsidRPr="00741266" w:rsidRDefault="00F23766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064CC71" w14:textId="77777777" w:rsidR="000F039C" w:rsidRPr="0003447B" w:rsidRDefault="00F23766" w:rsidP="00142D57">
      <w:pPr>
        <w:tabs>
          <w:tab w:val="left" w:pos="6237"/>
        </w:tabs>
        <w:ind w:left="709" w:right="2402"/>
        <w:jc w:val="both"/>
        <w:rPr>
          <w:rFonts w:cs="Arial"/>
          <w:i/>
          <w:szCs w:val="20"/>
        </w:rPr>
      </w:pPr>
      <w:r w:rsidRPr="0003447B">
        <w:rPr>
          <w:rFonts w:cs="Arial"/>
          <w:i/>
          <w:szCs w:val="20"/>
        </w:rPr>
        <w:t>„</w:t>
      </w:r>
      <w:r w:rsidR="000067D6" w:rsidRPr="0003447B">
        <w:rPr>
          <w:rFonts w:cs="Arial"/>
          <w:i/>
          <w:szCs w:val="20"/>
        </w:rPr>
        <w:t>V</w:t>
      </w:r>
      <w:r w:rsidR="00142D57" w:rsidRPr="0003447B">
        <w:rPr>
          <w:rFonts w:cs="Arial"/>
          <w:i/>
          <w:szCs w:val="20"/>
        </w:rPr>
        <w:t xml:space="preserve">iele </w:t>
      </w:r>
      <w:r w:rsidR="00853F0F" w:rsidRPr="0003447B">
        <w:rPr>
          <w:rFonts w:cs="Arial"/>
          <w:i/>
          <w:szCs w:val="20"/>
        </w:rPr>
        <w:t>Unternehmen</w:t>
      </w:r>
      <w:r w:rsidR="00142D57" w:rsidRPr="0003447B">
        <w:rPr>
          <w:rFonts w:cs="Arial"/>
          <w:i/>
          <w:szCs w:val="20"/>
        </w:rPr>
        <w:t xml:space="preserve"> </w:t>
      </w:r>
      <w:r w:rsidR="007D4EB1" w:rsidRPr="0003447B">
        <w:rPr>
          <w:rFonts w:cs="Arial"/>
          <w:i/>
          <w:szCs w:val="20"/>
        </w:rPr>
        <w:t xml:space="preserve">haben </w:t>
      </w:r>
      <w:r w:rsidR="00142D57" w:rsidRPr="0003447B">
        <w:rPr>
          <w:rFonts w:cs="Arial"/>
          <w:i/>
          <w:szCs w:val="20"/>
        </w:rPr>
        <w:t>TGW</w:t>
      </w:r>
      <w:r w:rsidR="008D12A6" w:rsidRPr="0003447B">
        <w:rPr>
          <w:rFonts w:cs="Arial"/>
          <w:i/>
          <w:szCs w:val="20"/>
        </w:rPr>
        <w:t xml:space="preserve"> im abgeschlossenen Geschäftsjahr</w:t>
      </w:r>
      <w:r w:rsidR="00142D57" w:rsidRPr="0003447B">
        <w:rPr>
          <w:rFonts w:cs="Arial"/>
          <w:i/>
          <w:szCs w:val="20"/>
        </w:rPr>
        <w:t xml:space="preserve"> mit dem Automatisieren ihrer Intralogistik beauftragt: von Urban Outfitters über Zalando bis zum </w:t>
      </w:r>
      <w:r w:rsidR="007D4EB1" w:rsidRPr="0003447B">
        <w:rPr>
          <w:rFonts w:cs="Arial"/>
          <w:i/>
          <w:szCs w:val="20"/>
        </w:rPr>
        <w:t>ö</w:t>
      </w:r>
      <w:r w:rsidR="005E1C72" w:rsidRPr="0003447B">
        <w:rPr>
          <w:rFonts w:cs="Arial"/>
          <w:i/>
          <w:szCs w:val="20"/>
        </w:rPr>
        <w:t>sterreichischen</w:t>
      </w:r>
      <w:r w:rsidR="00142D57" w:rsidRPr="0003447B">
        <w:rPr>
          <w:rFonts w:cs="Arial"/>
          <w:i/>
          <w:szCs w:val="20"/>
        </w:rPr>
        <w:t xml:space="preserve"> </w:t>
      </w:r>
      <w:r w:rsidR="005E1C72" w:rsidRPr="0003447B">
        <w:rPr>
          <w:rFonts w:cs="Arial"/>
          <w:i/>
          <w:szCs w:val="20"/>
        </w:rPr>
        <w:t>Fashion</w:t>
      </w:r>
      <w:r w:rsidR="00142D57" w:rsidRPr="0003447B">
        <w:rPr>
          <w:rFonts w:cs="Arial"/>
          <w:i/>
          <w:szCs w:val="20"/>
        </w:rPr>
        <w:t xml:space="preserve">händler Personalshop. </w:t>
      </w:r>
      <w:r w:rsidR="006B47AA" w:rsidRPr="0003447B">
        <w:rPr>
          <w:rFonts w:cs="Arial"/>
          <w:i/>
          <w:szCs w:val="20"/>
        </w:rPr>
        <w:t xml:space="preserve">Unseren Umsatz konnten wir im Vergleich zum Vorjahr um </w:t>
      </w:r>
      <w:r w:rsidR="004D52DA" w:rsidRPr="0003447B">
        <w:rPr>
          <w:rFonts w:cs="Arial"/>
          <w:i/>
          <w:szCs w:val="20"/>
        </w:rPr>
        <w:t>mehr als</w:t>
      </w:r>
      <w:r w:rsidR="006B47AA" w:rsidRPr="0003447B">
        <w:rPr>
          <w:rFonts w:cs="Arial"/>
          <w:i/>
          <w:szCs w:val="20"/>
        </w:rPr>
        <w:t xml:space="preserve"> 16 Prozent auf 835,8 Millionen Euro steigern</w:t>
      </w:r>
      <w:r w:rsidR="00A34D6F" w:rsidRPr="0003447B">
        <w:rPr>
          <w:rFonts w:cs="Arial"/>
          <w:i/>
          <w:szCs w:val="20"/>
        </w:rPr>
        <w:t xml:space="preserve"> – ein neuer Re</w:t>
      </w:r>
      <w:r w:rsidR="00FC53E9" w:rsidRPr="0003447B">
        <w:rPr>
          <w:rFonts w:cs="Arial"/>
          <w:i/>
          <w:szCs w:val="20"/>
        </w:rPr>
        <w:t>kordwert in unserer Firmen</w:t>
      </w:r>
      <w:r w:rsidR="00A34D6F" w:rsidRPr="0003447B">
        <w:rPr>
          <w:rFonts w:cs="Arial"/>
          <w:i/>
          <w:szCs w:val="20"/>
        </w:rPr>
        <w:t>geschichte</w:t>
      </w:r>
      <w:r w:rsidR="006B47AA" w:rsidRPr="0003447B">
        <w:rPr>
          <w:rFonts w:cs="Arial"/>
          <w:i/>
          <w:szCs w:val="20"/>
        </w:rPr>
        <w:t>.“</w:t>
      </w:r>
    </w:p>
    <w:p w14:paraId="66040D80" w14:textId="77777777" w:rsidR="006B47AA" w:rsidRDefault="006B47AA" w:rsidP="00142D57">
      <w:pPr>
        <w:tabs>
          <w:tab w:val="left" w:pos="6237"/>
        </w:tabs>
        <w:ind w:left="709" w:right="2402"/>
        <w:jc w:val="both"/>
        <w:rPr>
          <w:rFonts w:cs="Arial"/>
          <w:i/>
          <w:sz w:val="18"/>
          <w:szCs w:val="18"/>
        </w:rPr>
      </w:pPr>
    </w:p>
    <w:p w14:paraId="4486CA7B" w14:textId="77777777" w:rsidR="006B47AA" w:rsidRPr="006B47AA" w:rsidRDefault="0003447B" w:rsidP="006B47AA">
      <w:pPr>
        <w:tabs>
          <w:tab w:val="left" w:pos="6237"/>
        </w:tabs>
        <w:ind w:right="2402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Steigerung des </w:t>
      </w:r>
      <w:r w:rsidR="006B47AA">
        <w:rPr>
          <w:rFonts w:cs="Arial"/>
          <w:b/>
          <w:sz w:val="18"/>
          <w:szCs w:val="18"/>
        </w:rPr>
        <w:t>EBIT und Mitarbeiterbet</w:t>
      </w:r>
      <w:r w:rsidR="006B47AA" w:rsidRPr="006B47AA">
        <w:rPr>
          <w:rFonts w:cs="Arial"/>
          <w:b/>
          <w:sz w:val="18"/>
          <w:szCs w:val="18"/>
        </w:rPr>
        <w:t>eiligung</w:t>
      </w:r>
    </w:p>
    <w:p w14:paraId="0212A881" w14:textId="77777777" w:rsidR="0050308A" w:rsidRDefault="0050308A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0D70BD8" w14:textId="05D0929D" w:rsidR="00836001" w:rsidRDefault="00E14AA9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 EBIT </w:t>
      </w:r>
      <w:r w:rsidR="00162A7B">
        <w:rPr>
          <w:rFonts w:cs="Arial"/>
          <w:szCs w:val="20"/>
        </w:rPr>
        <w:t>beläuft sich auf</w:t>
      </w:r>
      <w:r>
        <w:rPr>
          <w:rFonts w:cs="Arial"/>
          <w:szCs w:val="20"/>
        </w:rPr>
        <w:t xml:space="preserve"> </w:t>
      </w:r>
      <w:r w:rsidR="009874E5">
        <w:rPr>
          <w:rFonts w:cs="Arial"/>
          <w:szCs w:val="20"/>
        </w:rPr>
        <w:t>37,1</w:t>
      </w:r>
      <w:r>
        <w:rPr>
          <w:rFonts w:cs="Arial"/>
          <w:szCs w:val="20"/>
        </w:rPr>
        <w:t xml:space="preserve"> Millionen Euro – nach </w:t>
      </w:r>
      <w:r w:rsidR="00120347">
        <w:rPr>
          <w:rFonts w:cs="Arial"/>
          <w:szCs w:val="20"/>
        </w:rPr>
        <w:t>27,9</w:t>
      </w:r>
      <w:r w:rsidR="00836001">
        <w:rPr>
          <w:rFonts w:cs="Arial"/>
          <w:szCs w:val="20"/>
        </w:rPr>
        <w:t xml:space="preserve"> Millionen im Vorjahreszeitraum</w:t>
      </w:r>
      <w:r w:rsidR="00FA7D9F">
        <w:rPr>
          <w:rFonts w:cs="Arial"/>
          <w:szCs w:val="20"/>
        </w:rPr>
        <w:t>. Das</w:t>
      </w:r>
      <w:r w:rsidR="00836001">
        <w:rPr>
          <w:rFonts w:cs="Arial"/>
          <w:szCs w:val="20"/>
        </w:rPr>
        <w:t xml:space="preserve"> </w:t>
      </w:r>
      <w:r w:rsidR="00230C81">
        <w:rPr>
          <w:rFonts w:cs="Arial"/>
          <w:szCs w:val="20"/>
        </w:rPr>
        <w:t>entspricht</w:t>
      </w:r>
      <w:r w:rsidR="00836001">
        <w:rPr>
          <w:rFonts w:cs="Arial"/>
          <w:szCs w:val="20"/>
        </w:rPr>
        <w:t xml:space="preserve"> </w:t>
      </w:r>
      <w:r w:rsidR="00230C81">
        <w:rPr>
          <w:rFonts w:cs="Arial"/>
          <w:szCs w:val="20"/>
        </w:rPr>
        <w:t>einer Steigerung von</w:t>
      </w:r>
      <w:r w:rsidR="008E6D5D">
        <w:rPr>
          <w:rFonts w:cs="Arial"/>
          <w:szCs w:val="20"/>
        </w:rPr>
        <w:t xml:space="preserve"> </w:t>
      </w:r>
      <w:r w:rsidR="00C34C87">
        <w:rPr>
          <w:rFonts w:cs="Arial"/>
          <w:szCs w:val="20"/>
        </w:rPr>
        <w:t xml:space="preserve">mehr als </w:t>
      </w:r>
      <w:r w:rsidR="0040175E">
        <w:rPr>
          <w:rFonts w:cs="Arial"/>
          <w:szCs w:val="20"/>
        </w:rPr>
        <w:t>33</w:t>
      </w:r>
      <w:r w:rsidR="00230C81">
        <w:rPr>
          <w:rFonts w:cs="Arial"/>
          <w:szCs w:val="20"/>
        </w:rPr>
        <w:t xml:space="preserve"> Prozent. </w:t>
      </w:r>
      <w:r w:rsidR="002B6964">
        <w:rPr>
          <w:rFonts w:cs="Arial"/>
          <w:szCs w:val="20"/>
        </w:rPr>
        <w:t>Als Stiftungsunternehmen darf TGW nicht verkauft werden</w:t>
      </w:r>
      <w:r w:rsidR="0003447B">
        <w:rPr>
          <w:rFonts w:cs="Arial"/>
          <w:szCs w:val="20"/>
        </w:rPr>
        <w:t>, erfolgreiches unternehmerisches Handeln und gesellschaftliche Verantwortung sind untrennbar miteinander verbunden</w:t>
      </w:r>
      <w:r w:rsidR="00F41B7D">
        <w:rPr>
          <w:rFonts w:cs="Arial"/>
          <w:szCs w:val="20"/>
        </w:rPr>
        <w:t>.</w:t>
      </w:r>
      <w:r w:rsidR="002B6964">
        <w:rPr>
          <w:rFonts w:cs="Arial"/>
          <w:szCs w:val="20"/>
        </w:rPr>
        <w:t xml:space="preserve"> </w:t>
      </w:r>
      <w:r w:rsidR="00747352">
        <w:rPr>
          <w:rFonts w:cs="Arial"/>
          <w:szCs w:val="20"/>
        </w:rPr>
        <w:t>Z</w:t>
      </w:r>
      <w:r w:rsidR="000B6706">
        <w:rPr>
          <w:rFonts w:cs="Arial"/>
          <w:szCs w:val="20"/>
        </w:rPr>
        <w:t>wei Drittel des Gewinns</w:t>
      </w:r>
      <w:r w:rsidR="00747352">
        <w:rPr>
          <w:rFonts w:cs="Arial"/>
          <w:szCs w:val="20"/>
        </w:rPr>
        <w:t xml:space="preserve"> bleiben</w:t>
      </w:r>
      <w:r w:rsidR="000B6706">
        <w:rPr>
          <w:rFonts w:cs="Arial"/>
          <w:szCs w:val="20"/>
        </w:rPr>
        <w:t xml:space="preserve"> im Unternehmen und werden </w:t>
      </w:r>
      <w:r w:rsidR="00B572D7">
        <w:rPr>
          <w:rFonts w:cs="Arial"/>
          <w:szCs w:val="20"/>
        </w:rPr>
        <w:t xml:space="preserve">investiert – in die Mitarbeiter, die Infrastruktur und </w:t>
      </w:r>
      <w:r w:rsidR="000B6706">
        <w:rPr>
          <w:rFonts w:cs="Arial"/>
          <w:szCs w:val="20"/>
        </w:rPr>
        <w:t>die</w:t>
      </w:r>
      <w:r w:rsidR="009551A5">
        <w:rPr>
          <w:rFonts w:cs="Arial"/>
          <w:szCs w:val="20"/>
        </w:rPr>
        <w:t xml:space="preserve"> </w:t>
      </w:r>
      <w:r w:rsidR="00F55710">
        <w:rPr>
          <w:rFonts w:cs="Arial"/>
          <w:szCs w:val="20"/>
        </w:rPr>
        <w:t>Innovationen</w:t>
      </w:r>
      <w:r w:rsidR="000B6706">
        <w:rPr>
          <w:rFonts w:cs="Arial"/>
          <w:szCs w:val="20"/>
        </w:rPr>
        <w:t xml:space="preserve"> von </w:t>
      </w:r>
      <w:r w:rsidR="006E023E">
        <w:rPr>
          <w:rFonts w:cs="Arial"/>
          <w:szCs w:val="20"/>
        </w:rPr>
        <w:t>m</w:t>
      </w:r>
      <w:r w:rsidR="000B6706">
        <w:rPr>
          <w:rFonts w:cs="Arial"/>
          <w:szCs w:val="20"/>
        </w:rPr>
        <w:t xml:space="preserve">orgen. </w:t>
      </w:r>
      <w:r w:rsidR="002B6964">
        <w:rPr>
          <w:rFonts w:cs="Arial"/>
          <w:szCs w:val="20"/>
        </w:rPr>
        <w:t>Damit ist</w:t>
      </w:r>
      <w:r w:rsidR="004E7C0D">
        <w:rPr>
          <w:rFonts w:cs="Arial"/>
          <w:szCs w:val="20"/>
        </w:rPr>
        <w:t xml:space="preserve"> TGW ein stabiler </w:t>
      </w:r>
      <w:r w:rsidR="004E7C0D">
        <w:rPr>
          <w:rFonts w:cs="Arial"/>
          <w:szCs w:val="20"/>
        </w:rPr>
        <w:lastRenderedPageBreak/>
        <w:t xml:space="preserve">Geschäftspartner und verlässlicher Arbeitgeber. </w:t>
      </w:r>
      <w:r w:rsidR="0003447B">
        <w:rPr>
          <w:rFonts w:cs="Arial"/>
          <w:szCs w:val="20"/>
        </w:rPr>
        <w:t>Z</w:t>
      </w:r>
      <w:r w:rsidR="000B6706">
        <w:rPr>
          <w:rFonts w:cs="Arial"/>
          <w:szCs w:val="20"/>
        </w:rPr>
        <w:t xml:space="preserve">ehn Prozent </w:t>
      </w:r>
      <w:r w:rsidR="00AE2164">
        <w:rPr>
          <w:rFonts w:cs="Arial"/>
          <w:szCs w:val="20"/>
        </w:rPr>
        <w:t xml:space="preserve">des Gewinns </w:t>
      </w:r>
      <w:r w:rsidR="00D873CB">
        <w:rPr>
          <w:rFonts w:cs="Arial"/>
          <w:szCs w:val="20"/>
        </w:rPr>
        <w:t>fließen</w:t>
      </w:r>
      <w:r w:rsidR="005861E5">
        <w:rPr>
          <w:rFonts w:cs="Arial"/>
          <w:szCs w:val="20"/>
        </w:rPr>
        <w:t xml:space="preserve"> </w:t>
      </w:r>
      <w:r w:rsidR="00D873CB">
        <w:rPr>
          <w:rFonts w:cs="Arial"/>
          <w:szCs w:val="20"/>
        </w:rPr>
        <w:t>an</w:t>
      </w:r>
      <w:r w:rsidR="0083372F">
        <w:rPr>
          <w:rFonts w:cs="Arial"/>
          <w:szCs w:val="20"/>
        </w:rPr>
        <w:t xml:space="preserve"> </w:t>
      </w:r>
      <w:r w:rsidR="00D873CB">
        <w:rPr>
          <w:rFonts w:cs="Arial"/>
          <w:szCs w:val="20"/>
        </w:rPr>
        <w:t xml:space="preserve">die gemeinnützigen </w:t>
      </w:r>
      <w:r w:rsidR="004E7C0D">
        <w:rPr>
          <w:rFonts w:cs="Arial"/>
          <w:szCs w:val="20"/>
        </w:rPr>
        <w:t xml:space="preserve">Projekte der </w:t>
      </w:r>
      <w:r w:rsidR="00D873CB">
        <w:rPr>
          <w:rFonts w:cs="Arial"/>
          <w:szCs w:val="20"/>
        </w:rPr>
        <w:t xml:space="preserve">Future Wings </w:t>
      </w:r>
      <w:r w:rsidR="004E7C0D">
        <w:rPr>
          <w:rFonts w:cs="Arial"/>
          <w:szCs w:val="20"/>
        </w:rPr>
        <w:t>Stiftung</w:t>
      </w:r>
      <w:r w:rsidR="00AE2164">
        <w:rPr>
          <w:rFonts w:cs="Arial"/>
          <w:szCs w:val="20"/>
        </w:rPr>
        <w:t xml:space="preserve">, die sich auf </w:t>
      </w:r>
      <w:r w:rsidR="00AE2164" w:rsidRPr="00AE2164">
        <w:rPr>
          <w:rFonts w:cs="Arial"/>
          <w:szCs w:val="20"/>
        </w:rPr>
        <w:t xml:space="preserve">eine ganzheitliche Persönlichkeitsentwicklung </w:t>
      </w:r>
      <w:r w:rsidR="00AE2164">
        <w:rPr>
          <w:rFonts w:cs="Arial"/>
          <w:szCs w:val="20"/>
        </w:rPr>
        <w:t>von Kindern und Jugendlichen fokussieren</w:t>
      </w:r>
      <w:r w:rsidR="00AE2164" w:rsidRPr="00AE2164">
        <w:rPr>
          <w:rFonts w:cs="Arial"/>
          <w:szCs w:val="20"/>
        </w:rPr>
        <w:t>.</w:t>
      </w:r>
    </w:p>
    <w:p w14:paraId="74EE3309" w14:textId="77777777" w:rsidR="0003447B" w:rsidRDefault="0003447B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128E1BE" w14:textId="73A76E9B" w:rsidR="00480054" w:rsidRDefault="00BD36E9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Bereits zum dritten Mal schüttet TGW</w:t>
      </w:r>
      <w:r w:rsidR="000F6786">
        <w:rPr>
          <w:rFonts w:cs="Arial"/>
          <w:szCs w:val="20"/>
        </w:rPr>
        <w:t xml:space="preserve"> </w:t>
      </w:r>
      <w:r w:rsidR="00C87AAD">
        <w:rPr>
          <w:rFonts w:cs="Arial"/>
          <w:szCs w:val="20"/>
        </w:rPr>
        <w:t xml:space="preserve">für das abgeschlossene Geschäftsjahr </w:t>
      </w:r>
      <w:r>
        <w:rPr>
          <w:rFonts w:cs="Arial"/>
          <w:szCs w:val="20"/>
        </w:rPr>
        <w:t xml:space="preserve">eine </w:t>
      </w:r>
      <w:r w:rsidR="003203F3">
        <w:rPr>
          <w:rFonts w:cs="Arial"/>
          <w:szCs w:val="20"/>
        </w:rPr>
        <w:t>Duale Mitarbeiterb</w:t>
      </w:r>
      <w:r>
        <w:rPr>
          <w:rFonts w:cs="Arial"/>
          <w:szCs w:val="20"/>
        </w:rPr>
        <w:t>eteiligung</w:t>
      </w:r>
      <w:r w:rsidR="0096307B">
        <w:rPr>
          <w:rFonts w:cs="Arial"/>
          <w:szCs w:val="20"/>
        </w:rPr>
        <w:t xml:space="preserve"> in Höhe von 4,1 Millionen Euro</w:t>
      </w:r>
      <w:r>
        <w:rPr>
          <w:rFonts w:cs="Arial"/>
          <w:szCs w:val="20"/>
        </w:rPr>
        <w:t xml:space="preserve"> aus. </w:t>
      </w:r>
      <w:r w:rsidR="00D57984">
        <w:rPr>
          <w:rFonts w:cs="Arial"/>
          <w:szCs w:val="20"/>
        </w:rPr>
        <w:t>Im Sinne von Transparenz und Fairness erhalten alle Mitar</w:t>
      </w:r>
      <w:r w:rsidR="00B5156C">
        <w:rPr>
          <w:rFonts w:cs="Arial"/>
          <w:szCs w:val="20"/>
        </w:rPr>
        <w:t>beiter denselben Sockelbetrag:</w:t>
      </w:r>
      <w:r w:rsidR="00DE31D1">
        <w:rPr>
          <w:rFonts w:cs="Arial"/>
          <w:szCs w:val="20"/>
        </w:rPr>
        <w:t xml:space="preserve"> </w:t>
      </w:r>
      <w:r w:rsidR="00514468">
        <w:rPr>
          <w:rFonts w:cs="Arial"/>
          <w:szCs w:val="20"/>
        </w:rPr>
        <w:t xml:space="preserve">Unabhängig </w:t>
      </w:r>
      <w:r w:rsidR="0076434A">
        <w:rPr>
          <w:rFonts w:cs="Arial"/>
          <w:szCs w:val="20"/>
        </w:rPr>
        <w:t>von ihrer Funktion und</w:t>
      </w:r>
      <w:r w:rsidR="00D57984">
        <w:rPr>
          <w:rFonts w:cs="Arial"/>
          <w:szCs w:val="20"/>
        </w:rPr>
        <w:t xml:space="preserve"> </w:t>
      </w:r>
      <w:r w:rsidR="0076434A">
        <w:rPr>
          <w:rFonts w:cs="Arial"/>
          <w:szCs w:val="20"/>
        </w:rPr>
        <w:t xml:space="preserve">egal </w:t>
      </w:r>
      <w:r w:rsidR="00D57984">
        <w:rPr>
          <w:rFonts w:cs="Arial"/>
          <w:szCs w:val="20"/>
        </w:rPr>
        <w:t xml:space="preserve">ob </w:t>
      </w:r>
      <w:r w:rsidR="00E01AC3">
        <w:rPr>
          <w:rFonts w:cs="Arial"/>
          <w:szCs w:val="20"/>
        </w:rPr>
        <w:t xml:space="preserve">sie </w:t>
      </w:r>
      <w:r w:rsidR="00D57984">
        <w:rPr>
          <w:rFonts w:cs="Arial"/>
          <w:szCs w:val="20"/>
        </w:rPr>
        <w:t xml:space="preserve">in Österreich, China oder den USA </w:t>
      </w:r>
      <w:r w:rsidR="00B5156C">
        <w:rPr>
          <w:rFonts w:cs="Arial"/>
          <w:szCs w:val="20"/>
        </w:rPr>
        <w:t>arbeiten</w:t>
      </w:r>
      <w:r w:rsidR="0076434A">
        <w:rPr>
          <w:rFonts w:cs="Arial"/>
          <w:szCs w:val="20"/>
        </w:rPr>
        <w:t>.</w:t>
      </w:r>
    </w:p>
    <w:p w14:paraId="4869316E" w14:textId="77777777" w:rsidR="008E3FA1" w:rsidRDefault="00D57984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69A2919" w14:textId="4E811AC6" w:rsidR="00AE4EDA" w:rsidRDefault="009348E3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9348E3">
        <w:rPr>
          <w:rFonts w:cs="Arial"/>
          <w:b/>
          <w:szCs w:val="20"/>
        </w:rPr>
        <w:t>Die Zahlen</w:t>
      </w:r>
      <w:r>
        <w:rPr>
          <w:rFonts w:cs="Arial"/>
          <w:b/>
          <w:szCs w:val="20"/>
        </w:rPr>
        <w:t xml:space="preserve"> </w:t>
      </w:r>
      <w:r w:rsidR="00676CB8">
        <w:rPr>
          <w:rFonts w:cs="Arial"/>
          <w:b/>
          <w:szCs w:val="20"/>
        </w:rPr>
        <w:t>im Überblick</w:t>
      </w:r>
      <w:r w:rsidR="00DE2506">
        <w:rPr>
          <w:rFonts w:cs="Arial"/>
          <w:b/>
          <w:szCs w:val="20"/>
        </w:rPr>
        <w:t xml:space="preserve"> </w:t>
      </w:r>
    </w:p>
    <w:p w14:paraId="49ECEF27" w14:textId="77777777" w:rsidR="00182632" w:rsidRPr="00B576E9" w:rsidRDefault="00182632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AU"/>
        </w:rPr>
      </w:pPr>
    </w:p>
    <w:p w14:paraId="63275948" w14:textId="77777777" w:rsidR="00AE4EDA" w:rsidRPr="00100FED" w:rsidRDefault="000B7F5B" w:rsidP="00886389">
      <w:pPr>
        <w:tabs>
          <w:tab w:val="left" w:pos="7797"/>
        </w:tabs>
        <w:ind w:right="1693"/>
        <w:jc w:val="both"/>
        <w:rPr>
          <w:rFonts w:cs="Arial"/>
          <w:b/>
          <w:sz w:val="16"/>
          <w:szCs w:val="16"/>
          <w:lang w:val="en-AU"/>
        </w:rPr>
      </w:pPr>
      <w:r>
        <w:rPr>
          <w:rFonts w:cs="Arial"/>
          <w:b/>
          <w:noProof/>
          <w:sz w:val="16"/>
          <w:szCs w:val="16"/>
          <w:lang w:val="de-AT" w:eastAsia="de-AT"/>
        </w:rPr>
        <w:drawing>
          <wp:inline distT="0" distB="0" distL="0" distR="0" wp14:anchorId="37617121" wp14:editId="303DC1E7">
            <wp:extent cx="5208431" cy="1978926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53" cy="1988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8F7A5" w14:textId="22FEEFAA" w:rsidR="00AE4EDA" w:rsidRPr="00B576E9" w:rsidRDefault="00182632" w:rsidP="00B576E9">
      <w:pPr>
        <w:tabs>
          <w:tab w:val="left" w:pos="7797"/>
        </w:tabs>
        <w:ind w:right="1693"/>
        <w:rPr>
          <w:rFonts w:cs="Arial"/>
          <w:b/>
          <w:szCs w:val="20"/>
          <w:lang w:val="en-AU"/>
        </w:rPr>
      </w:pPr>
      <w:r>
        <w:rPr>
          <w:rFonts w:cs="Arial"/>
          <w:b/>
          <w:szCs w:val="20"/>
          <w:lang w:val="en-AU"/>
        </w:rPr>
        <w:br/>
      </w:r>
    </w:p>
    <w:p w14:paraId="2180ACEF" w14:textId="77777777" w:rsidR="0034111E" w:rsidRPr="00DB6F16" w:rsidRDefault="008921F4" w:rsidP="0034111E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TGW </w:t>
      </w:r>
      <w:r w:rsidR="00912F97">
        <w:rPr>
          <w:rFonts w:cs="Arial"/>
          <w:b/>
          <w:szCs w:val="20"/>
        </w:rPr>
        <w:t>nimmt</w:t>
      </w:r>
      <w:r>
        <w:rPr>
          <w:rFonts w:cs="Arial"/>
          <w:b/>
          <w:szCs w:val="20"/>
        </w:rPr>
        <w:t xml:space="preserve"> </w:t>
      </w:r>
      <w:r w:rsidR="0029196C">
        <w:rPr>
          <w:rFonts w:cs="Arial"/>
          <w:b/>
          <w:szCs w:val="20"/>
        </w:rPr>
        <w:t>mehr als</w:t>
      </w:r>
      <w:r w:rsidR="00F21971">
        <w:rPr>
          <w:rFonts w:cs="Arial"/>
          <w:b/>
          <w:szCs w:val="20"/>
        </w:rPr>
        <w:t xml:space="preserve"> 400</w:t>
      </w:r>
      <w:r>
        <w:rPr>
          <w:rFonts w:cs="Arial"/>
          <w:b/>
          <w:szCs w:val="20"/>
        </w:rPr>
        <w:t xml:space="preserve"> </w:t>
      </w:r>
      <w:r w:rsidR="00912F97">
        <w:rPr>
          <w:rFonts w:cs="Arial"/>
          <w:b/>
          <w:szCs w:val="20"/>
        </w:rPr>
        <w:t xml:space="preserve">neue </w:t>
      </w:r>
      <w:r>
        <w:rPr>
          <w:rFonts w:cs="Arial"/>
          <w:b/>
          <w:szCs w:val="20"/>
        </w:rPr>
        <w:t>Mitarbeiter</w:t>
      </w:r>
      <w:r w:rsidR="00912F97">
        <w:rPr>
          <w:rFonts w:cs="Arial"/>
          <w:b/>
          <w:szCs w:val="20"/>
        </w:rPr>
        <w:t xml:space="preserve"> auf</w:t>
      </w:r>
    </w:p>
    <w:p w14:paraId="60770B3D" w14:textId="77777777" w:rsidR="0034111E" w:rsidRDefault="0034111E" w:rsidP="0034111E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1F708C3" w14:textId="5476E43F" w:rsidR="0034111E" w:rsidRDefault="008921F4" w:rsidP="0034111E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TGW</w:t>
      </w:r>
      <w:r w:rsidR="00B5156C">
        <w:rPr>
          <w:rFonts w:cs="Arial"/>
          <w:szCs w:val="20"/>
        </w:rPr>
        <w:t xml:space="preserve"> </w:t>
      </w:r>
      <w:r w:rsidR="001E3060">
        <w:rPr>
          <w:rFonts w:cs="Arial"/>
          <w:szCs w:val="20"/>
        </w:rPr>
        <w:t>ist im</w:t>
      </w:r>
      <w:r>
        <w:rPr>
          <w:rFonts w:cs="Arial"/>
          <w:szCs w:val="20"/>
        </w:rPr>
        <w:t xml:space="preserve"> abgeschlossenen Geschäftsjahr </w:t>
      </w:r>
      <w:r w:rsidR="001E3060">
        <w:rPr>
          <w:rFonts w:cs="Arial"/>
          <w:szCs w:val="20"/>
        </w:rPr>
        <w:t>um rund</w:t>
      </w:r>
      <w:r>
        <w:rPr>
          <w:rFonts w:cs="Arial"/>
          <w:szCs w:val="20"/>
        </w:rPr>
        <w:t xml:space="preserve"> 250 </w:t>
      </w:r>
      <w:r w:rsidRPr="00457193">
        <w:rPr>
          <w:rFonts w:cs="Arial"/>
          <w:szCs w:val="20"/>
        </w:rPr>
        <w:t xml:space="preserve">Mitarbeiter </w:t>
      </w:r>
      <w:r w:rsidR="001E3060" w:rsidRPr="00457193">
        <w:rPr>
          <w:rFonts w:cs="Arial"/>
          <w:szCs w:val="20"/>
        </w:rPr>
        <w:t>gewachsen</w:t>
      </w:r>
      <w:r w:rsidR="00463578">
        <w:rPr>
          <w:rFonts w:cs="Arial"/>
          <w:szCs w:val="20"/>
        </w:rPr>
        <w:t>.</w:t>
      </w:r>
      <w:r w:rsidRPr="00457193">
        <w:rPr>
          <w:rFonts w:cs="Arial"/>
          <w:szCs w:val="20"/>
        </w:rPr>
        <w:t xml:space="preserve"> </w:t>
      </w:r>
      <w:r w:rsidR="00B545F5">
        <w:rPr>
          <w:rFonts w:cs="Arial"/>
          <w:szCs w:val="20"/>
        </w:rPr>
        <w:t xml:space="preserve">Auch im </w:t>
      </w:r>
      <w:r w:rsidR="007024AE">
        <w:rPr>
          <w:rFonts w:cs="Arial"/>
          <w:szCs w:val="20"/>
        </w:rPr>
        <w:t>laufenden</w:t>
      </w:r>
      <w:r w:rsidR="00114C33">
        <w:rPr>
          <w:rFonts w:cs="Arial"/>
          <w:szCs w:val="20"/>
        </w:rPr>
        <w:t xml:space="preserve"> Wirtschafts</w:t>
      </w:r>
      <w:r w:rsidR="00B545F5">
        <w:rPr>
          <w:rFonts w:cs="Arial"/>
          <w:szCs w:val="20"/>
        </w:rPr>
        <w:t>jahr setzt der Intralogistik-Spezialist diesen Wachstumskurs fort</w:t>
      </w:r>
      <w:r w:rsidR="007024AE">
        <w:rPr>
          <w:rFonts w:cs="Arial"/>
          <w:szCs w:val="20"/>
        </w:rPr>
        <w:t xml:space="preserve"> und sucht vor allem </w:t>
      </w:r>
      <w:r w:rsidR="00534318">
        <w:rPr>
          <w:rFonts w:cs="Arial"/>
          <w:szCs w:val="20"/>
        </w:rPr>
        <w:t xml:space="preserve">Mitarbeiter </w:t>
      </w:r>
      <w:r w:rsidR="00CC35E2">
        <w:rPr>
          <w:rFonts w:cs="Arial"/>
          <w:szCs w:val="20"/>
        </w:rPr>
        <w:t>für die</w:t>
      </w:r>
      <w:r w:rsidR="001C4484" w:rsidRPr="00457193">
        <w:rPr>
          <w:rFonts w:cs="Arial"/>
          <w:szCs w:val="20"/>
        </w:rPr>
        <w:t xml:space="preserve"> </w:t>
      </w:r>
      <w:r w:rsidRPr="00457193">
        <w:rPr>
          <w:rFonts w:cs="Arial"/>
          <w:szCs w:val="20"/>
        </w:rPr>
        <w:t>Bereich</w:t>
      </w:r>
      <w:r w:rsidR="001C4484" w:rsidRPr="00457193">
        <w:rPr>
          <w:rFonts w:cs="Arial"/>
          <w:szCs w:val="20"/>
        </w:rPr>
        <w:t>e</w:t>
      </w:r>
      <w:r w:rsidRPr="00457193">
        <w:rPr>
          <w:rFonts w:cs="Arial"/>
          <w:szCs w:val="20"/>
        </w:rPr>
        <w:t xml:space="preserve"> Software</w:t>
      </w:r>
      <w:r w:rsidR="0037274A" w:rsidRPr="00457193">
        <w:rPr>
          <w:rFonts w:cs="Arial"/>
          <w:szCs w:val="20"/>
        </w:rPr>
        <w:t>, Steuerung</w:t>
      </w:r>
      <w:r w:rsidRPr="00457193">
        <w:rPr>
          <w:rFonts w:cs="Arial"/>
          <w:szCs w:val="20"/>
        </w:rPr>
        <w:t xml:space="preserve"> </w:t>
      </w:r>
      <w:r w:rsidR="00CC35E2">
        <w:rPr>
          <w:rFonts w:cs="Arial"/>
          <w:szCs w:val="20"/>
        </w:rPr>
        <w:t>und</w:t>
      </w:r>
      <w:r w:rsidR="00B545F5">
        <w:rPr>
          <w:rFonts w:cs="Arial"/>
          <w:szCs w:val="20"/>
        </w:rPr>
        <w:t xml:space="preserve"> Projektmanagement</w:t>
      </w:r>
      <w:r w:rsidRPr="00457193">
        <w:rPr>
          <w:rFonts w:cs="Arial"/>
          <w:szCs w:val="20"/>
        </w:rPr>
        <w:t>.</w:t>
      </w:r>
      <w:r w:rsidR="00A837B9" w:rsidRPr="00457193">
        <w:rPr>
          <w:rFonts w:cs="Arial"/>
          <w:szCs w:val="20"/>
        </w:rPr>
        <w:t xml:space="preserve"> Harald Schröpf betont:</w:t>
      </w:r>
    </w:p>
    <w:p w14:paraId="0D18065F" w14:textId="77777777" w:rsidR="009A5205" w:rsidRDefault="009A5205" w:rsidP="0034111E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DB922B5" w14:textId="5EF73FBD" w:rsidR="009A5205" w:rsidRPr="00534318" w:rsidRDefault="009A5205" w:rsidP="002604C6">
      <w:pPr>
        <w:tabs>
          <w:tab w:val="left" w:pos="7088"/>
        </w:tabs>
        <w:ind w:left="709" w:right="2402"/>
        <w:jc w:val="both"/>
        <w:rPr>
          <w:rFonts w:cs="Arial"/>
          <w:i/>
          <w:szCs w:val="20"/>
        </w:rPr>
      </w:pPr>
      <w:r w:rsidRPr="00534318">
        <w:rPr>
          <w:rFonts w:cs="Arial"/>
          <w:i/>
          <w:szCs w:val="20"/>
        </w:rPr>
        <w:t>„</w:t>
      </w:r>
      <w:r w:rsidR="001E3060" w:rsidRPr="00534318">
        <w:rPr>
          <w:rFonts w:cs="Arial"/>
          <w:i/>
          <w:szCs w:val="20"/>
        </w:rPr>
        <w:t>Gut ausgebildete</w:t>
      </w:r>
      <w:r w:rsidR="00C01EBA" w:rsidRPr="00534318">
        <w:rPr>
          <w:rFonts w:cs="Arial"/>
          <w:i/>
          <w:szCs w:val="20"/>
        </w:rPr>
        <w:t xml:space="preserve">, </w:t>
      </w:r>
      <w:r w:rsidR="001E3060" w:rsidRPr="00534318">
        <w:rPr>
          <w:rFonts w:cs="Arial"/>
          <w:i/>
          <w:szCs w:val="20"/>
        </w:rPr>
        <w:t xml:space="preserve">motivierte Mitarbeiter sind die Basis für </w:t>
      </w:r>
      <w:r w:rsidR="003014F9" w:rsidRPr="00534318">
        <w:rPr>
          <w:rFonts w:cs="Arial"/>
          <w:i/>
          <w:szCs w:val="20"/>
        </w:rPr>
        <w:t xml:space="preserve">unseren </w:t>
      </w:r>
      <w:r w:rsidR="002604C6" w:rsidRPr="00534318">
        <w:rPr>
          <w:rFonts w:cs="Arial"/>
          <w:i/>
          <w:szCs w:val="20"/>
        </w:rPr>
        <w:t>Erfolg</w:t>
      </w:r>
      <w:r w:rsidR="00AF420A" w:rsidRPr="00534318">
        <w:rPr>
          <w:rFonts w:cs="Arial"/>
          <w:i/>
          <w:szCs w:val="20"/>
        </w:rPr>
        <w:t>,</w:t>
      </w:r>
      <w:r w:rsidR="00D91BC3" w:rsidRPr="00534318">
        <w:rPr>
          <w:rFonts w:cs="Arial"/>
          <w:i/>
          <w:szCs w:val="20"/>
        </w:rPr>
        <w:t xml:space="preserve"> </w:t>
      </w:r>
      <w:r w:rsidR="001A639D" w:rsidRPr="00534318">
        <w:rPr>
          <w:rFonts w:cs="Arial"/>
          <w:i/>
          <w:szCs w:val="20"/>
        </w:rPr>
        <w:t>gerade</w:t>
      </w:r>
      <w:r w:rsidR="00D91BC3" w:rsidRPr="00534318">
        <w:rPr>
          <w:rFonts w:cs="Arial"/>
          <w:i/>
          <w:szCs w:val="20"/>
        </w:rPr>
        <w:t xml:space="preserve"> in einer </w:t>
      </w:r>
      <w:r w:rsidR="00BE3103" w:rsidRPr="00534318">
        <w:rPr>
          <w:rFonts w:cs="Arial"/>
          <w:i/>
          <w:szCs w:val="20"/>
        </w:rPr>
        <w:t>dynamische</w:t>
      </w:r>
      <w:r w:rsidR="00C01EBA" w:rsidRPr="00534318">
        <w:rPr>
          <w:rFonts w:cs="Arial"/>
          <w:i/>
          <w:szCs w:val="20"/>
        </w:rPr>
        <w:t>n und</w:t>
      </w:r>
      <w:r w:rsidR="001A639D" w:rsidRPr="00534318">
        <w:rPr>
          <w:rFonts w:cs="Arial"/>
          <w:i/>
          <w:szCs w:val="20"/>
        </w:rPr>
        <w:t xml:space="preserve"> innovationsstarken</w:t>
      </w:r>
      <w:r w:rsidR="00D91BC3" w:rsidRPr="00534318">
        <w:rPr>
          <w:rFonts w:cs="Arial"/>
          <w:i/>
          <w:szCs w:val="20"/>
        </w:rPr>
        <w:t xml:space="preserve"> Branche wie der Intralogistik</w:t>
      </w:r>
      <w:r w:rsidR="002604C6" w:rsidRPr="00534318">
        <w:rPr>
          <w:rFonts w:cs="Arial"/>
          <w:i/>
          <w:szCs w:val="20"/>
        </w:rPr>
        <w:t xml:space="preserve">. </w:t>
      </w:r>
      <w:r w:rsidR="00CC35E2" w:rsidRPr="00534318">
        <w:rPr>
          <w:rFonts w:cs="Arial"/>
          <w:i/>
          <w:szCs w:val="20"/>
        </w:rPr>
        <w:t>Um unsere Wachstumsstrategie erfolgreich realisieren zu können, planen wir daher i</w:t>
      </w:r>
      <w:r w:rsidR="00C1151F" w:rsidRPr="00534318">
        <w:rPr>
          <w:rFonts w:cs="Arial"/>
          <w:i/>
          <w:szCs w:val="20"/>
        </w:rPr>
        <w:t xml:space="preserve">m </w:t>
      </w:r>
      <w:r w:rsidR="00841E72" w:rsidRPr="00534318">
        <w:rPr>
          <w:rFonts w:cs="Arial"/>
          <w:i/>
          <w:szCs w:val="20"/>
        </w:rPr>
        <w:t>laufende</w:t>
      </w:r>
      <w:r w:rsidR="00C1151F" w:rsidRPr="00534318">
        <w:rPr>
          <w:rFonts w:cs="Arial"/>
          <w:i/>
          <w:szCs w:val="20"/>
        </w:rPr>
        <w:t>n</w:t>
      </w:r>
      <w:r w:rsidR="00841E72" w:rsidRPr="00534318">
        <w:rPr>
          <w:rFonts w:cs="Arial"/>
          <w:i/>
          <w:szCs w:val="20"/>
        </w:rPr>
        <w:t xml:space="preserve"> Geschäftsjahr</w:t>
      </w:r>
      <w:r w:rsidR="008057A1" w:rsidRPr="00534318">
        <w:rPr>
          <w:rFonts w:cs="Arial"/>
          <w:i/>
          <w:szCs w:val="20"/>
        </w:rPr>
        <w:t xml:space="preserve"> </w:t>
      </w:r>
      <w:r w:rsidR="00B541A5" w:rsidRPr="00534318">
        <w:rPr>
          <w:rFonts w:cs="Arial"/>
          <w:i/>
          <w:szCs w:val="20"/>
        </w:rPr>
        <w:t xml:space="preserve">um mehr als 400 Mitarbeiter zu wachsen </w:t>
      </w:r>
      <w:r w:rsidR="003E49D4">
        <w:rPr>
          <w:rFonts w:cs="Arial"/>
          <w:i/>
          <w:szCs w:val="20"/>
        </w:rPr>
        <w:t xml:space="preserve">– und </w:t>
      </w:r>
      <w:r w:rsidR="00CC35E2" w:rsidRPr="00534318">
        <w:rPr>
          <w:rFonts w:cs="Arial"/>
          <w:i/>
          <w:szCs w:val="20"/>
        </w:rPr>
        <w:t>damit</w:t>
      </w:r>
      <w:r w:rsidR="00244775" w:rsidRPr="00534318">
        <w:rPr>
          <w:rFonts w:cs="Arial"/>
          <w:i/>
          <w:szCs w:val="20"/>
        </w:rPr>
        <w:t xml:space="preserve"> </w:t>
      </w:r>
      <w:r w:rsidR="00B96305" w:rsidRPr="00534318">
        <w:rPr>
          <w:rFonts w:cs="Arial"/>
          <w:i/>
          <w:szCs w:val="20"/>
        </w:rPr>
        <w:t xml:space="preserve">die 4.000er-Marke zu </w:t>
      </w:r>
      <w:r w:rsidR="00D879A7" w:rsidRPr="00534318">
        <w:rPr>
          <w:rFonts w:cs="Arial"/>
          <w:i/>
          <w:szCs w:val="20"/>
        </w:rPr>
        <w:t>überspringen</w:t>
      </w:r>
      <w:r w:rsidR="00CD667F" w:rsidRPr="00534318">
        <w:rPr>
          <w:rFonts w:cs="Arial"/>
          <w:i/>
          <w:szCs w:val="20"/>
        </w:rPr>
        <w:t>.</w:t>
      </w:r>
      <w:r w:rsidR="00B427AE" w:rsidRPr="00534318">
        <w:rPr>
          <w:rFonts w:cs="Arial"/>
          <w:i/>
          <w:szCs w:val="20"/>
        </w:rPr>
        <w:t>“</w:t>
      </w:r>
    </w:p>
    <w:p w14:paraId="72755C6F" w14:textId="77777777" w:rsidR="00B427AE" w:rsidRPr="00534318" w:rsidRDefault="00B427AE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1B67F0B5" w14:textId="4456E0C1" w:rsidR="00CC35E2" w:rsidRDefault="00CC35E2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53F9165E" w14:textId="77777777" w:rsidR="00182632" w:rsidRDefault="00182632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3584DF42" w14:textId="013D36D2" w:rsidR="00F126D9" w:rsidRDefault="001B7B16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E-Commerce </w:t>
      </w:r>
      <w:r w:rsidR="00514468">
        <w:rPr>
          <w:rFonts w:cs="Arial"/>
          <w:b/>
          <w:szCs w:val="20"/>
        </w:rPr>
        <w:t>profitabel gestalten</w:t>
      </w:r>
    </w:p>
    <w:p w14:paraId="246CD754" w14:textId="77777777" w:rsidR="00514468" w:rsidRDefault="00514468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7CCA286" w14:textId="77777777" w:rsidR="005835A0" w:rsidRDefault="002E5FC4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E-Commerce weist in beinahe allen </w:t>
      </w:r>
      <w:r w:rsidR="009F1AB6">
        <w:rPr>
          <w:rFonts w:cs="Arial"/>
          <w:szCs w:val="20"/>
        </w:rPr>
        <w:t xml:space="preserve">Branchen </w:t>
      </w:r>
      <w:r>
        <w:rPr>
          <w:rFonts w:cs="Arial"/>
          <w:szCs w:val="20"/>
        </w:rPr>
        <w:t>hohe Wachstumsraten auf</w:t>
      </w:r>
      <w:r w:rsidR="009F1AB6">
        <w:rPr>
          <w:rFonts w:cs="Arial"/>
          <w:szCs w:val="20"/>
        </w:rPr>
        <w:t xml:space="preserve"> – von Fashion über den allgemeinen Handel bis zum Online-Lebensmittelhandel. </w:t>
      </w:r>
      <w:r w:rsidR="001B7B16">
        <w:rPr>
          <w:rFonts w:cs="Arial"/>
          <w:szCs w:val="20"/>
        </w:rPr>
        <w:t>TGW bietet maßgeschneiderte Lösungen für diese Bereich</w:t>
      </w:r>
      <w:r w:rsidR="007F4673">
        <w:rPr>
          <w:rFonts w:cs="Arial"/>
          <w:szCs w:val="20"/>
        </w:rPr>
        <w:t>e</w:t>
      </w:r>
      <w:r w:rsidR="005835A0">
        <w:rPr>
          <w:rFonts w:cs="Arial"/>
          <w:szCs w:val="20"/>
        </w:rPr>
        <w:t xml:space="preserve"> und unterstützt seine Kunden dabei, den E-Commerce profitabel zu gestalten</w:t>
      </w:r>
      <w:r w:rsidR="001B7B16">
        <w:rPr>
          <w:rFonts w:cs="Arial"/>
          <w:szCs w:val="20"/>
        </w:rPr>
        <w:t xml:space="preserve">. </w:t>
      </w:r>
    </w:p>
    <w:p w14:paraId="5A6F461E" w14:textId="2D3E8B79" w:rsidR="00A459AA" w:rsidRDefault="005835A0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br/>
      </w:r>
      <w:r w:rsidR="0020360B">
        <w:rPr>
          <w:rFonts w:cs="Arial"/>
          <w:szCs w:val="20"/>
        </w:rPr>
        <w:t>eGrocery – also der Online-Verkauf von Lebensmitteln – verzeichnet</w:t>
      </w:r>
      <w:r w:rsidR="00EF089D">
        <w:rPr>
          <w:rFonts w:cs="Arial"/>
          <w:szCs w:val="20"/>
        </w:rPr>
        <w:t xml:space="preserve"> im Jahr der Corona-Pandemie</w:t>
      </w:r>
      <w:r w:rsidR="00A459AA" w:rsidRPr="00A459AA">
        <w:rPr>
          <w:rFonts w:cs="Arial"/>
          <w:szCs w:val="20"/>
        </w:rPr>
        <w:t xml:space="preserve"> in Deutschland, Frankreich, Großbritannien, Italien und den USA ein Plus von 350 Millionen Bestellungen und ein Umsatzwachstum von 31 Milliarden Euro. Bis zu 45 Prozent </w:t>
      </w:r>
      <w:r w:rsidR="00EF089D">
        <w:rPr>
          <w:rFonts w:cs="Arial"/>
          <w:szCs w:val="20"/>
        </w:rPr>
        <w:t>der neu gewonnenen Kunden</w:t>
      </w:r>
      <w:r w:rsidR="00A459AA" w:rsidRPr="00A459AA">
        <w:rPr>
          <w:rFonts w:cs="Arial"/>
          <w:szCs w:val="20"/>
        </w:rPr>
        <w:t xml:space="preserve"> werden auch nach Corona </w:t>
      </w:r>
      <w:r w:rsidR="00EF089D">
        <w:rPr>
          <w:rFonts w:cs="Arial"/>
          <w:szCs w:val="20"/>
        </w:rPr>
        <w:t>weiter online bestellen</w:t>
      </w:r>
      <w:r w:rsidR="00A459AA" w:rsidRPr="00A459AA">
        <w:rPr>
          <w:rFonts w:cs="Arial"/>
          <w:szCs w:val="20"/>
        </w:rPr>
        <w:t xml:space="preserve">, so die Unternehmensberatung Bain &amp; Company. Das Potential im Online-Lebensmittelhandel ist also </w:t>
      </w:r>
      <w:r w:rsidR="000A7433">
        <w:rPr>
          <w:rFonts w:cs="Arial"/>
          <w:szCs w:val="20"/>
        </w:rPr>
        <w:t xml:space="preserve">weltweit </w:t>
      </w:r>
      <w:r w:rsidR="00A459AA" w:rsidRPr="00A459AA">
        <w:rPr>
          <w:rFonts w:cs="Arial"/>
          <w:szCs w:val="20"/>
        </w:rPr>
        <w:t>enorm.</w:t>
      </w:r>
    </w:p>
    <w:p w14:paraId="458AE325" w14:textId="15E9AAA4" w:rsidR="00A459AA" w:rsidRDefault="00A459AA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04419EA" w14:textId="42EA4963" w:rsidR="001B7B16" w:rsidRPr="001B7B16" w:rsidRDefault="001B7B16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Online-Lebensmittelhändler Picnic automatisiert mit TGW</w:t>
      </w:r>
    </w:p>
    <w:p w14:paraId="2EDB04F1" w14:textId="77777777" w:rsidR="001B7B16" w:rsidRDefault="001B7B16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575B56D" w14:textId="7B3972B3" w:rsidR="00F126D9" w:rsidRDefault="00AA3365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Vor Kurzem</w:t>
      </w:r>
      <w:r w:rsidR="00885347">
        <w:rPr>
          <w:rFonts w:cs="Arial"/>
          <w:szCs w:val="20"/>
        </w:rPr>
        <w:t xml:space="preserve"> beauftragte der</w:t>
      </w:r>
      <w:r w:rsidR="00770FC9">
        <w:rPr>
          <w:rFonts w:cs="Arial"/>
          <w:szCs w:val="20"/>
        </w:rPr>
        <w:t xml:space="preserve"> niederländische Online-Lebensmittelhändler </w:t>
      </w:r>
      <w:r w:rsidR="00BC3839">
        <w:rPr>
          <w:rFonts w:cs="Arial"/>
          <w:szCs w:val="20"/>
        </w:rPr>
        <w:t xml:space="preserve">Picnic </w:t>
      </w:r>
      <w:r w:rsidR="00317A97">
        <w:rPr>
          <w:rFonts w:cs="Arial"/>
          <w:szCs w:val="20"/>
        </w:rPr>
        <w:t>TGW</w:t>
      </w:r>
      <w:r w:rsidR="005D042A">
        <w:rPr>
          <w:rFonts w:cs="Arial"/>
          <w:szCs w:val="20"/>
        </w:rPr>
        <w:t xml:space="preserve"> </w:t>
      </w:r>
      <w:r w:rsidR="00770FC9">
        <w:rPr>
          <w:rFonts w:cs="Arial"/>
          <w:szCs w:val="20"/>
        </w:rPr>
        <w:t>mit dem Errichten eines hochautomatisierten Distributionszentrums</w:t>
      </w:r>
      <w:r w:rsidR="006F1829">
        <w:rPr>
          <w:rFonts w:cs="Arial"/>
          <w:szCs w:val="20"/>
        </w:rPr>
        <w:t xml:space="preserve"> in Utrecht</w:t>
      </w:r>
      <w:r w:rsidR="00770FC9">
        <w:rPr>
          <w:rFonts w:cs="Arial"/>
          <w:szCs w:val="20"/>
        </w:rPr>
        <w:t>.</w:t>
      </w:r>
      <w:r w:rsidR="00F126D9">
        <w:rPr>
          <w:rFonts w:cs="Arial"/>
          <w:szCs w:val="20"/>
        </w:rPr>
        <w:t xml:space="preserve"> </w:t>
      </w:r>
      <w:r w:rsidR="00D744FF">
        <w:rPr>
          <w:rFonts w:cs="Arial"/>
          <w:szCs w:val="20"/>
        </w:rPr>
        <w:t>D</w:t>
      </w:r>
      <w:r w:rsidR="00F126D9">
        <w:rPr>
          <w:rFonts w:cs="Arial"/>
          <w:szCs w:val="20"/>
        </w:rPr>
        <w:t>as</w:t>
      </w:r>
      <w:r w:rsidR="00D744FF">
        <w:rPr>
          <w:rFonts w:cs="Arial"/>
          <w:szCs w:val="20"/>
        </w:rPr>
        <w:t xml:space="preserve"> 2015 gegründete</w:t>
      </w:r>
      <w:r w:rsidR="00F126D9">
        <w:rPr>
          <w:rFonts w:cs="Arial"/>
          <w:szCs w:val="20"/>
        </w:rPr>
        <w:t xml:space="preserve"> Unternehmen</w:t>
      </w:r>
      <w:r w:rsidR="00C43146">
        <w:rPr>
          <w:rFonts w:cs="Arial"/>
          <w:szCs w:val="20"/>
        </w:rPr>
        <w:t xml:space="preserve"> </w:t>
      </w:r>
      <w:r w:rsidR="00534318">
        <w:t>ist einer der am stärksten wachsende</w:t>
      </w:r>
      <w:r w:rsidR="00443F10">
        <w:t>n</w:t>
      </w:r>
      <w:r w:rsidR="00534318">
        <w:t xml:space="preserve"> Player in dieser Branche</w:t>
      </w:r>
      <w:r w:rsidR="006F5848">
        <w:rPr>
          <w:rFonts w:cs="Arial"/>
          <w:szCs w:val="20"/>
        </w:rPr>
        <w:t>.</w:t>
      </w:r>
      <w:r w:rsidR="00730A1B">
        <w:rPr>
          <w:rFonts w:cs="Arial"/>
          <w:szCs w:val="20"/>
        </w:rPr>
        <w:t xml:space="preserve"> </w:t>
      </w:r>
      <w:r w:rsidR="004F57EC">
        <w:rPr>
          <w:rFonts w:cs="Arial"/>
          <w:szCs w:val="20"/>
        </w:rPr>
        <w:t xml:space="preserve">Kunden bestellen bequem </w:t>
      </w:r>
      <w:r w:rsidR="008578D5">
        <w:rPr>
          <w:rFonts w:cs="Arial"/>
          <w:szCs w:val="20"/>
        </w:rPr>
        <w:t xml:space="preserve">bis 22:00 Uhr </w:t>
      </w:r>
      <w:r w:rsidR="004F57EC">
        <w:rPr>
          <w:rFonts w:cs="Arial"/>
          <w:szCs w:val="20"/>
        </w:rPr>
        <w:t>per App,</w:t>
      </w:r>
      <w:r w:rsidR="007705DF">
        <w:rPr>
          <w:rFonts w:cs="Arial"/>
          <w:szCs w:val="20"/>
        </w:rPr>
        <w:t xml:space="preserve"> die Zustellung erfolgt </w:t>
      </w:r>
      <w:r w:rsidR="008A6123">
        <w:rPr>
          <w:rFonts w:cs="Arial"/>
          <w:szCs w:val="20"/>
        </w:rPr>
        <w:t>schon am nächsten Tag</w:t>
      </w:r>
      <w:r w:rsidR="004F57EC">
        <w:rPr>
          <w:rFonts w:cs="Arial"/>
          <w:szCs w:val="20"/>
        </w:rPr>
        <w:t xml:space="preserve"> </w:t>
      </w:r>
      <w:r w:rsidR="00A6205D">
        <w:rPr>
          <w:rFonts w:cs="Arial"/>
          <w:szCs w:val="20"/>
        </w:rPr>
        <w:t xml:space="preserve">mit </w:t>
      </w:r>
      <w:r w:rsidR="00A07920">
        <w:rPr>
          <w:rFonts w:cs="Arial"/>
          <w:szCs w:val="20"/>
        </w:rPr>
        <w:t>emissionsfreien</w:t>
      </w:r>
      <w:r w:rsidR="00F126D9">
        <w:rPr>
          <w:rFonts w:cs="Arial"/>
          <w:szCs w:val="20"/>
        </w:rPr>
        <w:t xml:space="preserve"> Elektrofahrzeugen.</w:t>
      </w:r>
      <w:r w:rsidR="00C6480A">
        <w:rPr>
          <w:rFonts w:cs="Arial"/>
          <w:szCs w:val="20"/>
        </w:rPr>
        <w:t xml:space="preserve"> </w:t>
      </w:r>
      <w:r w:rsidR="00A6205D">
        <w:rPr>
          <w:rFonts w:cs="Arial"/>
          <w:szCs w:val="20"/>
        </w:rPr>
        <w:t xml:space="preserve">Mit dem neuen, </w:t>
      </w:r>
      <w:r w:rsidR="00CC35E2">
        <w:rPr>
          <w:rFonts w:cs="Arial"/>
          <w:szCs w:val="20"/>
        </w:rPr>
        <w:t xml:space="preserve">hochautomatisierten </w:t>
      </w:r>
      <w:r w:rsidR="005820BD">
        <w:rPr>
          <w:rFonts w:cs="Arial"/>
          <w:szCs w:val="20"/>
        </w:rPr>
        <w:t xml:space="preserve">Distributionszentrum </w:t>
      </w:r>
      <w:r w:rsidR="00D16BFC">
        <w:rPr>
          <w:rFonts w:cs="Arial"/>
          <w:szCs w:val="20"/>
        </w:rPr>
        <w:t>kann Picnic</w:t>
      </w:r>
      <w:r w:rsidR="00A6205D">
        <w:rPr>
          <w:rFonts w:cs="Arial"/>
          <w:szCs w:val="20"/>
        </w:rPr>
        <w:t xml:space="preserve"> Lebensmittel für mehr</w:t>
      </w:r>
      <w:r w:rsidR="000A37FC">
        <w:rPr>
          <w:rFonts w:cs="Arial"/>
          <w:szCs w:val="20"/>
        </w:rPr>
        <w:t xml:space="preserve"> als 150.000 F</w:t>
      </w:r>
      <w:r w:rsidR="00A11BF2">
        <w:rPr>
          <w:rFonts w:cs="Arial"/>
          <w:szCs w:val="20"/>
        </w:rPr>
        <w:t>amilien pro Woche kommissionieren</w:t>
      </w:r>
      <w:r w:rsidR="001C6FC4">
        <w:rPr>
          <w:rFonts w:cs="Arial"/>
          <w:szCs w:val="20"/>
        </w:rPr>
        <w:t xml:space="preserve"> – und legt </w:t>
      </w:r>
      <w:r w:rsidR="00F764A4">
        <w:rPr>
          <w:rFonts w:cs="Arial"/>
          <w:szCs w:val="20"/>
        </w:rPr>
        <w:t xml:space="preserve">mit der richtungsweisenden technologischen Lösung von TGW </w:t>
      </w:r>
      <w:r w:rsidR="001C6FC4">
        <w:rPr>
          <w:rFonts w:cs="Arial"/>
          <w:szCs w:val="20"/>
        </w:rPr>
        <w:t xml:space="preserve">die Basis für </w:t>
      </w:r>
      <w:r w:rsidR="00F764A4">
        <w:rPr>
          <w:rFonts w:cs="Arial"/>
          <w:szCs w:val="20"/>
        </w:rPr>
        <w:t>die nächsten Wachstumsschritte</w:t>
      </w:r>
      <w:r w:rsidR="000A37FC">
        <w:rPr>
          <w:rFonts w:cs="Arial"/>
          <w:szCs w:val="20"/>
        </w:rPr>
        <w:t>.</w:t>
      </w:r>
    </w:p>
    <w:p w14:paraId="4FBDF741" w14:textId="77777777" w:rsidR="00E71BE3" w:rsidRDefault="00E71BE3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7F28FA8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55E28B94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5CF0F8E9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4EDABC32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24D16E8E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61378276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356D73B8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5482EF50" w14:textId="77777777" w:rsidR="00A459AA" w:rsidRDefault="00A459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i/>
          <w:sz w:val="18"/>
          <w:szCs w:val="18"/>
        </w:rPr>
      </w:pPr>
    </w:p>
    <w:p w14:paraId="04F72D89" w14:textId="77777777" w:rsidR="00F1062C" w:rsidRPr="00F16869" w:rsidRDefault="00F1062C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de-DE"/>
        </w:rPr>
      </w:pPr>
    </w:p>
    <w:p w14:paraId="65339849" w14:textId="016BA72D" w:rsidR="001856BA" w:rsidRDefault="001856B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5216277" w14:textId="7B5A62B5" w:rsidR="00332DAA" w:rsidRDefault="00332DAA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6CD535A" w14:textId="7764711F" w:rsidR="00514468" w:rsidRPr="007F4592" w:rsidRDefault="002B11C5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9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21A939B9" w14:textId="77777777"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</w:t>
      </w:r>
      <w:bookmarkStart w:id="0" w:name="_GoBack"/>
      <w:bookmarkEnd w:id="0"/>
      <w:r w:rsidRPr="007875E7">
        <w:rPr>
          <w:rFonts w:ascii="Arial" w:hAnsi="Arial" w:cs="Arial"/>
          <w:b/>
          <w:sz w:val="20"/>
          <w:szCs w:val="20"/>
        </w:rPr>
        <w:t xml:space="preserve"> die TGW Logistics Group:</w:t>
      </w:r>
    </w:p>
    <w:p w14:paraId="74183709" w14:textId="05E7E7D9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60044363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1E9A153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182BC5A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24B659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186748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3245B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9A9B7C2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4EFB3B8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7273BB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29B35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5D1F9B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3664EB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6E62C3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573B88E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220106D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1C6FA9D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02D45BA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7CBE8E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B2053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7DE02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40DDABE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728D6DEF" w14:textId="77777777" w:rsidR="00935EE7" w:rsidRDefault="00935EE7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36BF4B88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 w:rsidRPr="003E32C9">
        <w:rPr>
          <w:rFonts w:cs="Arial"/>
          <w:szCs w:val="20"/>
        </w:rPr>
        <w:t>Micha</w:t>
      </w:r>
      <w:r>
        <w:rPr>
          <w:rFonts w:cs="Arial"/>
          <w:szCs w:val="20"/>
        </w:rPr>
        <w:t>el</w:t>
      </w:r>
      <w:r w:rsidRPr="003E32C9">
        <w:rPr>
          <w:rFonts w:cs="Arial"/>
          <w:szCs w:val="20"/>
        </w:rPr>
        <w:t xml:space="preserve"> Obermeyr</w:t>
      </w:r>
    </w:p>
    <w:p w14:paraId="63C174D9" w14:textId="77777777" w:rsidR="00682E52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Geschäftsführer </w:t>
      </w:r>
    </w:p>
    <w:p w14:paraId="0FAC9DE0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Reichl </w:t>
      </w:r>
      <w:r w:rsidR="00B62263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Partner PR</w:t>
      </w:r>
      <w:r w:rsidR="00B62263">
        <w:rPr>
          <w:rFonts w:cs="Arial"/>
          <w:szCs w:val="20"/>
        </w:rPr>
        <w:t xml:space="preserve"> GmbH</w:t>
      </w:r>
    </w:p>
    <w:p w14:paraId="6C314335" w14:textId="77777777" w:rsidR="00935EE7" w:rsidRPr="004642BC" w:rsidRDefault="00935EE7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642BC">
        <w:rPr>
          <w:rFonts w:cs="Arial"/>
          <w:szCs w:val="20"/>
          <w:lang w:val="en-AU"/>
        </w:rPr>
        <w:t>M: +43</w:t>
      </w:r>
      <w:proofErr w:type="gramStart"/>
      <w:r w:rsidRPr="004642BC">
        <w:rPr>
          <w:rFonts w:cs="Arial"/>
          <w:szCs w:val="20"/>
          <w:lang w:val="en-AU"/>
        </w:rPr>
        <w:t>.(</w:t>
      </w:r>
      <w:proofErr w:type="gramEnd"/>
      <w:r w:rsidRPr="004642BC">
        <w:rPr>
          <w:rFonts w:cs="Arial"/>
          <w:szCs w:val="20"/>
          <w:lang w:val="en-AU"/>
        </w:rPr>
        <w:t>0)664.2505817</w:t>
      </w:r>
    </w:p>
    <w:p w14:paraId="38EC483B" w14:textId="77777777" w:rsidR="00935EE7" w:rsidRPr="004642BC" w:rsidRDefault="00935EE7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642BC">
        <w:rPr>
          <w:rFonts w:cs="Arial"/>
          <w:szCs w:val="20"/>
          <w:lang w:val="en-AU"/>
        </w:rPr>
        <w:t>michael.obermeyr@reichlundpartner.com</w:t>
      </w:r>
    </w:p>
    <w:p w14:paraId="5B9BE290" w14:textId="77777777" w:rsidR="008A6F35" w:rsidRPr="004642BC" w:rsidRDefault="008A6F35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064F9412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5F01D47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57A0031C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30A42C9A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254FEB36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05FF333D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2A5D5C9D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AB6C861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13206CF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673BF74F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028B6FD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3A4D376F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3F5471FF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25A617DC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30A3" w14:textId="77777777" w:rsidR="00A459AA" w:rsidRDefault="00A459AA" w:rsidP="00764006">
      <w:pPr>
        <w:spacing w:line="240" w:lineRule="auto"/>
      </w:pPr>
      <w:r>
        <w:separator/>
      </w:r>
    </w:p>
  </w:endnote>
  <w:endnote w:type="continuationSeparator" w:id="0">
    <w:p w14:paraId="0CFA3EB5" w14:textId="77777777" w:rsidR="00A459AA" w:rsidRDefault="00A459A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73AD425E" w14:textId="77777777" w:rsidTr="00C15D91">
      <w:tc>
        <w:tcPr>
          <w:tcW w:w="6474" w:type="dxa"/>
        </w:tcPr>
        <w:p w14:paraId="756515AC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1FD666A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314EBEF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5009DAA" w14:textId="0F05C848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B11C5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4</w:t>
          </w:r>
        </w:p>
      </w:tc>
    </w:tr>
  </w:tbl>
  <w:p w14:paraId="58D81884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025A" w14:textId="77777777" w:rsidR="00A459AA" w:rsidRDefault="00A459AA" w:rsidP="00764006">
      <w:pPr>
        <w:spacing w:line="240" w:lineRule="auto"/>
      </w:pPr>
      <w:r>
        <w:separator/>
      </w:r>
    </w:p>
  </w:footnote>
  <w:footnote w:type="continuationSeparator" w:id="0">
    <w:p w14:paraId="3F7B925F" w14:textId="77777777" w:rsidR="00A459AA" w:rsidRDefault="00A459A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2472" w14:textId="77777777" w:rsidR="00A459AA" w:rsidRDefault="00A459AA" w:rsidP="00764006">
    <w:pPr>
      <w:pStyle w:val="Kopfzeile"/>
      <w:jc w:val="right"/>
    </w:pPr>
    <w:r>
      <w:br/>
    </w:r>
  </w:p>
  <w:p w14:paraId="0EE9E6A2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78D8039B" wp14:editId="120F512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4"/>
  </w:num>
  <w:num w:numId="17">
    <w:abstractNumId w:val="19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394C"/>
    <w:rsid w:val="000048BC"/>
    <w:rsid w:val="000048E9"/>
    <w:rsid w:val="00004D39"/>
    <w:rsid w:val="00004F6A"/>
    <w:rsid w:val="000067D6"/>
    <w:rsid w:val="00007176"/>
    <w:rsid w:val="00007CF1"/>
    <w:rsid w:val="00013BF0"/>
    <w:rsid w:val="00014D5D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40E1"/>
    <w:rsid w:val="00081FA6"/>
    <w:rsid w:val="0008298D"/>
    <w:rsid w:val="00082FB9"/>
    <w:rsid w:val="0008328C"/>
    <w:rsid w:val="000838C9"/>
    <w:rsid w:val="00084DC2"/>
    <w:rsid w:val="00085DE5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79C"/>
    <w:rsid w:val="00094DFA"/>
    <w:rsid w:val="00095CBA"/>
    <w:rsid w:val="000973B3"/>
    <w:rsid w:val="00097487"/>
    <w:rsid w:val="00097DE7"/>
    <w:rsid w:val="000A0FE1"/>
    <w:rsid w:val="000A1294"/>
    <w:rsid w:val="000A2827"/>
    <w:rsid w:val="000A3032"/>
    <w:rsid w:val="000A37FC"/>
    <w:rsid w:val="000A3C02"/>
    <w:rsid w:val="000A490F"/>
    <w:rsid w:val="000A4931"/>
    <w:rsid w:val="000A51B5"/>
    <w:rsid w:val="000A5860"/>
    <w:rsid w:val="000A67DD"/>
    <w:rsid w:val="000A6DCC"/>
    <w:rsid w:val="000A721F"/>
    <w:rsid w:val="000A7433"/>
    <w:rsid w:val="000B3A42"/>
    <w:rsid w:val="000B3BB3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D04E9"/>
    <w:rsid w:val="000D055C"/>
    <w:rsid w:val="000D0B64"/>
    <w:rsid w:val="000D0FFE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2B57"/>
    <w:rsid w:val="000E5B4A"/>
    <w:rsid w:val="000E6579"/>
    <w:rsid w:val="000E721B"/>
    <w:rsid w:val="000E742E"/>
    <w:rsid w:val="000E779D"/>
    <w:rsid w:val="000F039C"/>
    <w:rsid w:val="000F2136"/>
    <w:rsid w:val="000F6568"/>
    <w:rsid w:val="000F6786"/>
    <w:rsid w:val="000F7D85"/>
    <w:rsid w:val="00100CDF"/>
    <w:rsid w:val="00100FED"/>
    <w:rsid w:val="00102B91"/>
    <w:rsid w:val="00102B94"/>
    <w:rsid w:val="00102C0C"/>
    <w:rsid w:val="00102F3E"/>
    <w:rsid w:val="00106124"/>
    <w:rsid w:val="00106470"/>
    <w:rsid w:val="001109BF"/>
    <w:rsid w:val="00110A0B"/>
    <w:rsid w:val="00113562"/>
    <w:rsid w:val="00114C33"/>
    <w:rsid w:val="00117307"/>
    <w:rsid w:val="00117D1D"/>
    <w:rsid w:val="00120347"/>
    <w:rsid w:val="00122BB2"/>
    <w:rsid w:val="001252B2"/>
    <w:rsid w:val="00125A5B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5EB3"/>
    <w:rsid w:val="00150056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A0355"/>
    <w:rsid w:val="001A0755"/>
    <w:rsid w:val="001A08BF"/>
    <w:rsid w:val="001A143C"/>
    <w:rsid w:val="001A2A7D"/>
    <w:rsid w:val="001A36B2"/>
    <w:rsid w:val="001A3CC9"/>
    <w:rsid w:val="001A4177"/>
    <w:rsid w:val="001A639D"/>
    <w:rsid w:val="001B0377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1972"/>
    <w:rsid w:val="001D1A27"/>
    <w:rsid w:val="001D22C8"/>
    <w:rsid w:val="001D2879"/>
    <w:rsid w:val="001D2A06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3187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2B47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24A9"/>
    <w:rsid w:val="002A24DB"/>
    <w:rsid w:val="002A47F3"/>
    <w:rsid w:val="002A50B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4568"/>
    <w:rsid w:val="002B4848"/>
    <w:rsid w:val="002B52CA"/>
    <w:rsid w:val="002B56A8"/>
    <w:rsid w:val="002B5E97"/>
    <w:rsid w:val="002B6964"/>
    <w:rsid w:val="002B6B85"/>
    <w:rsid w:val="002B7358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F73"/>
    <w:rsid w:val="002D4595"/>
    <w:rsid w:val="002D48DC"/>
    <w:rsid w:val="002D5963"/>
    <w:rsid w:val="002D63EE"/>
    <w:rsid w:val="002D64D5"/>
    <w:rsid w:val="002D6A5C"/>
    <w:rsid w:val="002E11B2"/>
    <w:rsid w:val="002E1F59"/>
    <w:rsid w:val="002E312E"/>
    <w:rsid w:val="002E3C38"/>
    <w:rsid w:val="002E4E51"/>
    <w:rsid w:val="002E59F5"/>
    <w:rsid w:val="002E5FC4"/>
    <w:rsid w:val="002E71B6"/>
    <w:rsid w:val="002F059B"/>
    <w:rsid w:val="002F0A80"/>
    <w:rsid w:val="002F390A"/>
    <w:rsid w:val="002F3C41"/>
    <w:rsid w:val="002F4C86"/>
    <w:rsid w:val="002F4FEE"/>
    <w:rsid w:val="002F748C"/>
    <w:rsid w:val="002F7C97"/>
    <w:rsid w:val="003014F9"/>
    <w:rsid w:val="0030159E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74A"/>
    <w:rsid w:val="00372D81"/>
    <w:rsid w:val="00373A5C"/>
    <w:rsid w:val="00374096"/>
    <w:rsid w:val="00374913"/>
    <w:rsid w:val="00374BBD"/>
    <w:rsid w:val="0037522E"/>
    <w:rsid w:val="003756FD"/>
    <w:rsid w:val="00375AF2"/>
    <w:rsid w:val="003765DE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232F"/>
    <w:rsid w:val="00392F49"/>
    <w:rsid w:val="00393F32"/>
    <w:rsid w:val="003A0407"/>
    <w:rsid w:val="003A0544"/>
    <w:rsid w:val="003A1816"/>
    <w:rsid w:val="003A2448"/>
    <w:rsid w:val="003A28BB"/>
    <w:rsid w:val="003A2AEC"/>
    <w:rsid w:val="003A6EC7"/>
    <w:rsid w:val="003A717A"/>
    <w:rsid w:val="003B6403"/>
    <w:rsid w:val="003B67C9"/>
    <w:rsid w:val="003B7A21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C0E"/>
    <w:rsid w:val="003D1457"/>
    <w:rsid w:val="003D188F"/>
    <w:rsid w:val="003D311D"/>
    <w:rsid w:val="003D3E79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150B4"/>
    <w:rsid w:val="00415BE0"/>
    <w:rsid w:val="0041692F"/>
    <w:rsid w:val="004173D2"/>
    <w:rsid w:val="00417A01"/>
    <w:rsid w:val="00420460"/>
    <w:rsid w:val="00421702"/>
    <w:rsid w:val="00422A59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232B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52DA"/>
    <w:rsid w:val="004D5EC4"/>
    <w:rsid w:val="004D6889"/>
    <w:rsid w:val="004E264D"/>
    <w:rsid w:val="004E371B"/>
    <w:rsid w:val="004E40E5"/>
    <w:rsid w:val="004E4588"/>
    <w:rsid w:val="004E4DC5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6081"/>
    <w:rsid w:val="00500690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6416"/>
    <w:rsid w:val="00516F92"/>
    <w:rsid w:val="005202F2"/>
    <w:rsid w:val="005203B2"/>
    <w:rsid w:val="005205D2"/>
    <w:rsid w:val="00521D4D"/>
    <w:rsid w:val="00521DF4"/>
    <w:rsid w:val="005225DC"/>
    <w:rsid w:val="00522F2B"/>
    <w:rsid w:val="00523994"/>
    <w:rsid w:val="00523CCB"/>
    <w:rsid w:val="00523D03"/>
    <w:rsid w:val="0052421D"/>
    <w:rsid w:val="005246AA"/>
    <w:rsid w:val="0052724A"/>
    <w:rsid w:val="005278C0"/>
    <w:rsid w:val="00530CD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3015"/>
    <w:rsid w:val="00553DC2"/>
    <w:rsid w:val="00554CD1"/>
    <w:rsid w:val="0055503D"/>
    <w:rsid w:val="0055542D"/>
    <w:rsid w:val="00556FA2"/>
    <w:rsid w:val="00560882"/>
    <w:rsid w:val="005609F6"/>
    <w:rsid w:val="00561645"/>
    <w:rsid w:val="005627E8"/>
    <w:rsid w:val="005627FC"/>
    <w:rsid w:val="005634F5"/>
    <w:rsid w:val="005655EB"/>
    <w:rsid w:val="00572BDA"/>
    <w:rsid w:val="005735A7"/>
    <w:rsid w:val="00573A73"/>
    <w:rsid w:val="00574B91"/>
    <w:rsid w:val="00574E3C"/>
    <w:rsid w:val="00576B49"/>
    <w:rsid w:val="00577E48"/>
    <w:rsid w:val="00580CF9"/>
    <w:rsid w:val="005820BD"/>
    <w:rsid w:val="00582A98"/>
    <w:rsid w:val="00582DE4"/>
    <w:rsid w:val="0058334F"/>
    <w:rsid w:val="005835A0"/>
    <w:rsid w:val="0058393E"/>
    <w:rsid w:val="00583D84"/>
    <w:rsid w:val="0058474C"/>
    <w:rsid w:val="00584B0A"/>
    <w:rsid w:val="005861E5"/>
    <w:rsid w:val="00586708"/>
    <w:rsid w:val="00586A99"/>
    <w:rsid w:val="00587756"/>
    <w:rsid w:val="00590E98"/>
    <w:rsid w:val="005918D1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C5D"/>
    <w:rsid w:val="005D2F99"/>
    <w:rsid w:val="005D4A90"/>
    <w:rsid w:val="005D4AF0"/>
    <w:rsid w:val="005D625F"/>
    <w:rsid w:val="005D6937"/>
    <w:rsid w:val="005D75C8"/>
    <w:rsid w:val="005E1C72"/>
    <w:rsid w:val="005E2614"/>
    <w:rsid w:val="005E26CA"/>
    <w:rsid w:val="005E2D7B"/>
    <w:rsid w:val="005E32F3"/>
    <w:rsid w:val="005E46F1"/>
    <w:rsid w:val="005E4B43"/>
    <w:rsid w:val="005E5C16"/>
    <w:rsid w:val="005E5C8E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9E7"/>
    <w:rsid w:val="00635544"/>
    <w:rsid w:val="00635E54"/>
    <w:rsid w:val="00635EB5"/>
    <w:rsid w:val="00637365"/>
    <w:rsid w:val="0063784E"/>
    <w:rsid w:val="0064026C"/>
    <w:rsid w:val="00640762"/>
    <w:rsid w:val="0064160D"/>
    <w:rsid w:val="0064273E"/>
    <w:rsid w:val="00645281"/>
    <w:rsid w:val="0064588E"/>
    <w:rsid w:val="00645BED"/>
    <w:rsid w:val="00645D8D"/>
    <w:rsid w:val="00647C57"/>
    <w:rsid w:val="00650001"/>
    <w:rsid w:val="00651CE9"/>
    <w:rsid w:val="0065394D"/>
    <w:rsid w:val="00653E6D"/>
    <w:rsid w:val="00655116"/>
    <w:rsid w:val="00656680"/>
    <w:rsid w:val="00657A2F"/>
    <w:rsid w:val="006616E3"/>
    <w:rsid w:val="0066178D"/>
    <w:rsid w:val="006626D4"/>
    <w:rsid w:val="00662DED"/>
    <w:rsid w:val="00665477"/>
    <w:rsid w:val="006670D6"/>
    <w:rsid w:val="0066718E"/>
    <w:rsid w:val="00667CD6"/>
    <w:rsid w:val="0067106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266E"/>
    <w:rsid w:val="006A30D1"/>
    <w:rsid w:val="006A3B80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6E14"/>
    <w:rsid w:val="006B76EE"/>
    <w:rsid w:val="006C0300"/>
    <w:rsid w:val="006C1B6F"/>
    <w:rsid w:val="006C2B4F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23E"/>
    <w:rsid w:val="006E0D8B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52B"/>
    <w:rsid w:val="0074674C"/>
    <w:rsid w:val="007467C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477"/>
    <w:rsid w:val="00774EE4"/>
    <w:rsid w:val="00775CFE"/>
    <w:rsid w:val="00776049"/>
    <w:rsid w:val="00776F3B"/>
    <w:rsid w:val="00777564"/>
    <w:rsid w:val="0077767C"/>
    <w:rsid w:val="00781CC5"/>
    <w:rsid w:val="0078236C"/>
    <w:rsid w:val="007827BC"/>
    <w:rsid w:val="00783D20"/>
    <w:rsid w:val="007857E0"/>
    <w:rsid w:val="00787180"/>
    <w:rsid w:val="007875E7"/>
    <w:rsid w:val="007919B7"/>
    <w:rsid w:val="00793254"/>
    <w:rsid w:val="007942C8"/>
    <w:rsid w:val="00795184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50C"/>
    <w:rsid w:val="008047B3"/>
    <w:rsid w:val="00804C59"/>
    <w:rsid w:val="00805337"/>
    <w:rsid w:val="008057A1"/>
    <w:rsid w:val="008102A3"/>
    <w:rsid w:val="008109FF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4050F"/>
    <w:rsid w:val="00841156"/>
    <w:rsid w:val="00841C1D"/>
    <w:rsid w:val="00841E72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3F0F"/>
    <w:rsid w:val="00854198"/>
    <w:rsid w:val="0085553E"/>
    <w:rsid w:val="008562E6"/>
    <w:rsid w:val="008578D5"/>
    <w:rsid w:val="00857C04"/>
    <w:rsid w:val="0086138B"/>
    <w:rsid w:val="008618D7"/>
    <w:rsid w:val="0086576A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2A2C"/>
    <w:rsid w:val="008843A6"/>
    <w:rsid w:val="00885347"/>
    <w:rsid w:val="00886389"/>
    <w:rsid w:val="00886C6A"/>
    <w:rsid w:val="00890FFF"/>
    <w:rsid w:val="00891020"/>
    <w:rsid w:val="00891F80"/>
    <w:rsid w:val="008921F4"/>
    <w:rsid w:val="00895EE1"/>
    <w:rsid w:val="0089662D"/>
    <w:rsid w:val="00896738"/>
    <w:rsid w:val="008A0DC0"/>
    <w:rsid w:val="008A0EC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7B1"/>
    <w:rsid w:val="008E3CCE"/>
    <w:rsid w:val="008E3FA1"/>
    <w:rsid w:val="008E4B40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133D"/>
    <w:rsid w:val="0091295D"/>
    <w:rsid w:val="00912F97"/>
    <w:rsid w:val="0091426C"/>
    <w:rsid w:val="00916F22"/>
    <w:rsid w:val="00916F30"/>
    <w:rsid w:val="00922059"/>
    <w:rsid w:val="009257C1"/>
    <w:rsid w:val="00925941"/>
    <w:rsid w:val="0092603A"/>
    <w:rsid w:val="009264E1"/>
    <w:rsid w:val="00927C10"/>
    <w:rsid w:val="009301DD"/>
    <w:rsid w:val="00930E95"/>
    <w:rsid w:val="00931464"/>
    <w:rsid w:val="00933B79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46B6D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D5A"/>
    <w:rsid w:val="00955E53"/>
    <w:rsid w:val="009577FF"/>
    <w:rsid w:val="0096016B"/>
    <w:rsid w:val="00962EB5"/>
    <w:rsid w:val="00962FBE"/>
    <w:rsid w:val="0096307B"/>
    <w:rsid w:val="00963DE2"/>
    <w:rsid w:val="0096415C"/>
    <w:rsid w:val="00964B89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35F0"/>
    <w:rsid w:val="00983661"/>
    <w:rsid w:val="00983FEF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D0E"/>
    <w:rsid w:val="00993F99"/>
    <w:rsid w:val="009940D7"/>
    <w:rsid w:val="00995B37"/>
    <w:rsid w:val="0099759A"/>
    <w:rsid w:val="009A1195"/>
    <w:rsid w:val="009A1A13"/>
    <w:rsid w:val="009A291A"/>
    <w:rsid w:val="009A5205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AB6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4D6F"/>
    <w:rsid w:val="00A34FDA"/>
    <w:rsid w:val="00A41547"/>
    <w:rsid w:val="00A41C58"/>
    <w:rsid w:val="00A420C9"/>
    <w:rsid w:val="00A42454"/>
    <w:rsid w:val="00A42ACF"/>
    <w:rsid w:val="00A43A66"/>
    <w:rsid w:val="00A45918"/>
    <w:rsid w:val="00A459AA"/>
    <w:rsid w:val="00A47206"/>
    <w:rsid w:val="00A5065C"/>
    <w:rsid w:val="00A517AB"/>
    <w:rsid w:val="00A51FDE"/>
    <w:rsid w:val="00A52078"/>
    <w:rsid w:val="00A52A37"/>
    <w:rsid w:val="00A5306A"/>
    <w:rsid w:val="00A53488"/>
    <w:rsid w:val="00A54C08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5E52"/>
    <w:rsid w:val="00A868FC"/>
    <w:rsid w:val="00A86D60"/>
    <w:rsid w:val="00A91FC2"/>
    <w:rsid w:val="00A92266"/>
    <w:rsid w:val="00A92B4E"/>
    <w:rsid w:val="00A93A9C"/>
    <w:rsid w:val="00A93BE5"/>
    <w:rsid w:val="00A93F68"/>
    <w:rsid w:val="00A94BC3"/>
    <w:rsid w:val="00A94EEE"/>
    <w:rsid w:val="00A957D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B1961"/>
    <w:rsid w:val="00AB1C8A"/>
    <w:rsid w:val="00AB2157"/>
    <w:rsid w:val="00AB39A3"/>
    <w:rsid w:val="00AB501C"/>
    <w:rsid w:val="00AB58DB"/>
    <w:rsid w:val="00AB6032"/>
    <w:rsid w:val="00AC02D7"/>
    <w:rsid w:val="00AC2AD6"/>
    <w:rsid w:val="00AC330A"/>
    <w:rsid w:val="00AC334F"/>
    <w:rsid w:val="00AC39F5"/>
    <w:rsid w:val="00AC3DC8"/>
    <w:rsid w:val="00AC41CF"/>
    <w:rsid w:val="00AC4EB4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6DE"/>
    <w:rsid w:val="00B34575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75C8"/>
    <w:rsid w:val="00B70843"/>
    <w:rsid w:val="00B71467"/>
    <w:rsid w:val="00B71D1B"/>
    <w:rsid w:val="00B72183"/>
    <w:rsid w:val="00B729D0"/>
    <w:rsid w:val="00B73BC8"/>
    <w:rsid w:val="00B74D01"/>
    <w:rsid w:val="00B7607D"/>
    <w:rsid w:val="00B76AF4"/>
    <w:rsid w:val="00B7702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640"/>
    <w:rsid w:val="00BC17E0"/>
    <w:rsid w:val="00BC27BB"/>
    <w:rsid w:val="00BC2BFD"/>
    <w:rsid w:val="00BC3839"/>
    <w:rsid w:val="00BC5D88"/>
    <w:rsid w:val="00BC6016"/>
    <w:rsid w:val="00BC6C31"/>
    <w:rsid w:val="00BC6DE0"/>
    <w:rsid w:val="00BD0142"/>
    <w:rsid w:val="00BD36E9"/>
    <w:rsid w:val="00BD4BF3"/>
    <w:rsid w:val="00BD50DB"/>
    <w:rsid w:val="00BD5302"/>
    <w:rsid w:val="00BD63E3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7089"/>
    <w:rsid w:val="00C00791"/>
    <w:rsid w:val="00C00CC7"/>
    <w:rsid w:val="00C01EBA"/>
    <w:rsid w:val="00C01EF1"/>
    <w:rsid w:val="00C02591"/>
    <w:rsid w:val="00C02E15"/>
    <w:rsid w:val="00C050DE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71ED"/>
    <w:rsid w:val="00C20097"/>
    <w:rsid w:val="00C202C5"/>
    <w:rsid w:val="00C20490"/>
    <w:rsid w:val="00C21672"/>
    <w:rsid w:val="00C22BFF"/>
    <w:rsid w:val="00C234EA"/>
    <w:rsid w:val="00C23ACE"/>
    <w:rsid w:val="00C23D66"/>
    <w:rsid w:val="00C243BD"/>
    <w:rsid w:val="00C245D5"/>
    <w:rsid w:val="00C25EE9"/>
    <w:rsid w:val="00C263C3"/>
    <w:rsid w:val="00C272DC"/>
    <w:rsid w:val="00C31CEB"/>
    <w:rsid w:val="00C31E2C"/>
    <w:rsid w:val="00C321DD"/>
    <w:rsid w:val="00C33E5F"/>
    <w:rsid w:val="00C34C87"/>
    <w:rsid w:val="00C354EF"/>
    <w:rsid w:val="00C36165"/>
    <w:rsid w:val="00C36DC5"/>
    <w:rsid w:val="00C3722A"/>
    <w:rsid w:val="00C4025D"/>
    <w:rsid w:val="00C40B71"/>
    <w:rsid w:val="00C41386"/>
    <w:rsid w:val="00C423D9"/>
    <w:rsid w:val="00C43146"/>
    <w:rsid w:val="00C43FC7"/>
    <w:rsid w:val="00C44C20"/>
    <w:rsid w:val="00C47105"/>
    <w:rsid w:val="00C47252"/>
    <w:rsid w:val="00C52A37"/>
    <w:rsid w:val="00C536C6"/>
    <w:rsid w:val="00C54C85"/>
    <w:rsid w:val="00C56CAA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AD1"/>
    <w:rsid w:val="00CB001F"/>
    <w:rsid w:val="00CB1FEB"/>
    <w:rsid w:val="00CB2771"/>
    <w:rsid w:val="00CB2AB1"/>
    <w:rsid w:val="00CB72E5"/>
    <w:rsid w:val="00CB7D8F"/>
    <w:rsid w:val="00CC1C78"/>
    <w:rsid w:val="00CC2FD9"/>
    <w:rsid w:val="00CC35E2"/>
    <w:rsid w:val="00CC3B58"/>
    <w:rsid w:val="00CC3CF1"/>
    <w:rsid w:val="00CC4070"/>
    <w:rsid w:val="00CC467B"/>
    <w:rsid w:val="00CC4DF5"/>
    <w:rsid w:val="00CC6393"/>
    <w:rsid w:val="00CC63F6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2541"/>
    <w:rsid w:val="00CF2D9C"/>
    <w:rsid w:val="00CF3482"/>
    <w:rsid w:val="00CF3F5D"/>
    <w:rsid w:val="00CF592B"/>
    <w:rsid w:val="00CF5BD9"/>
    <w:rsid w:val="00CF6ACC"/>
    <w:rsid w:val="00CF6DD1"/>
    <w:rsid w:val="00D00000"/>
    <w:rsid w:val="00D02400"/>
    <w:rsid w:val="00D032B8"/>
    <w:rsid w:val="00D05D62"/>
    <w:rsid w:val="00D06414"/>
    <w:rsid w:val="00D06840"/>
    <w:rsid w:val="00D06C4A"/>
    <w:rsid w:val="00D12BD3"/>
    <w:rsid w:val="00D15E4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41B"/>
    <w:rsid w:val="00D40C6D"/>
    <w:rsid w:val="00D45400"/>
    <w:rsid w:val="00D45F67"/>
    <w:rsid w:val="00D46ACE"/>
    <w:rsid w:val="00D46E4B"/>
    <w:rsid w:val="00D50A5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2658"/>
    <w:rsid w:val="00D744FF"/>
    <w:rsid w:val="00D74F33"/>
    <w:rsid w:val="00D75D73"/>
    <w:rsid w:val="00D7687F"/>
    <w:rsid w:val="00D807C9"/>
    <w:rsid w:val="00D80835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D51"/>
    <w:rsid w:val="00D935E9"/>
    <w:rsid w:val="00D95B75"/>
    <w:rsid w:val="00D96CD7"/>
    <w:rsid w:val="00D97519"/>
    <w:rsid w:val="00DA00AB"/>
    <w:rsid w:val="00DA1B96"/>
    <w:rsid w:val="00DA243F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6F3"/>
    <w:rsid w:val="00DB5A59"/>
    <w:rsid w:val="00DB6F16"/>
    <w:rsid w:val="00DC225C"/>
    <w:rsid w:val="00DC2717"/>
    <w:rsid w:val="00DC2FC0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417D"/>
    <w:rsid w:val="00DD5502"/>
    <w:rsid w:val="00DD589D"/>
    <w:rsid w:val="00DD6316"/>
    <w:rsid w:val="00DD6B33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3D"/>
    <w:rsid w:val="00DE745F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4032F"/>
    <w:rsid w:val="00E42776"/>
    <w:rsid w:val="00E42BDF"/>
    <w:rsid w:val="00E437CD"/>
    <w:rsid w:val="00E45844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70EF"/>
    <w:rsid w:val="00EA773D"/>
    <w:rsid w:val="00EA7953"/>
    <w:rsid w:val="00EB10D6"/>
    <w:rsid w:val="00EB1C97"/>
    <w:rsid w:val="00EB1F8E"/>
    <w:rsid w:val="00EB2276"/>
    <w:rsid w:val="00EB3670"/>
    <w:rsid w:val="00EB4075"/>
    <w:rsid w:val="00EB467F"/>
    <w:rsid w:val="00EB49E8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0E5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38F9"/>
    <w:rsid w:val="00F45974"/>
    <w:rsid w:val="00F45FB5"/>
    <w:rsid w:val="00F4668B"/>
    <w:rsid w:val="00F474EE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7150"/>
    <w:rsid w:val="00FB7479"/>
    <w:rsid w:val="00FC016A"/>
    <w:rsid w:val="00FC0B78"/>
    <w:rsid w:val="00FC19C5"/>
    <w:rsid w:val="00FC3A84"/>
    <w:rsid w:val="00FC4778"/>
    <w:rsid w:val="00FC48A4"/>
    <w:rsid w:val="00FC53E9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55C2"/>
    <w:rsid w:val="00FE6B9E"/>
    <w:rsid w:val="00FE6DBB"/>
    <w:rsid w:val="00FE7040"/>
    <w:rsid w:val="00FE7C2F"/>
    <w:rsid w:val="00FF16D8"/>
    <w:rsid w:val="00FF5A94"/>
    <w:rsid w:val="00FF5E7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719F27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52A9-0D92-4DE5-AE0E-7B0949CB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446</cp:revision>
  <cp:lastPrinted>2020-09-07T05:28:00Z</cp:lastPrinted>
  <dcterms:created xsi:type="dcterms:W3CDTF">2020-08-19T07:59:00Z</dcterms:created>
  <dcterms:modified xsi:type="dcterms:W3CDTF">2020-09-24T04:27:00Z</dcterms:modified>
</cp:coreProperties>
</file>