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39C" w:rsidRPr="00290A14" w:rsidRDefault="002F0C67" w:rsidP="00F97F67">
      <w:pPr>
        <w:tabs>
          <w:tab w:val="left" w:pos="7797"/>
        </w:tabs>
        <w:ind w:right="1693"/>
        <w:rPr>
          <w:rFonts w:cs="Arial"/>
          <w:b/>
          <w:sz w:val="28"/>
          <w:szCs w:val="28"/>
        </w:rPr>
      </w:pPr>
      <w:r>
        <w:rPr>
          <w:rFonts w:cs="Arial"/>
          <w:b/>
          <w:sz w:val="28"/>
          <w:szCs w:val="28"/>
        </w:rPr>
        <w:t>TGW crea 850 nuevos puestos de trabajo e invierte en la ampliación de la sede</w:t>
      </w:r>
    </w:p>
    <w:p w:rsidR="00E95184" w:rsidRPr="00290A14" w:rsidRDefault="00E95184" w:rsidP="00F97F67">
      <w:pPr>
        <w:tabs>
          <w:tab w:val="left" w:pos="7797"/>
        </w:tabs>
        <w:ind w:right="1693"/>
        <w:jc w:val="both"/>
        <w:rPr>
          <w:rFonts w:cs="Arial"/>
          <w:b/>
          <w:szCs w:val="20"/>
        </w:rPr>
      </w:pPr>
    </w:p>
    <w:p w:rsidR="00806EBB" w:rsidRPr="002F0C67" w:rsidRDefault="00806EBB" w:rsidP="00806EBB">
      <w:pPr>
        <w:pStyle w:val="Listenabsatz"/>
        <w:numPr>
          <w:ilvl w:val="0"/>
          <w:numId w:val="24"/>
        </w:numPr>
        <w:tabs>
          <w:tab w:val="left" w:pos="7797"/>
        </w:tabs>
        <w:ind w:right="1268"/>
        <w:rPr>
          <w:rFonts w:cs="Arial"/>
          <w:b/>
          <w:sz w:val="24"/>
          <w:szCs w:val="24"/>
        </w:rPr>
      </w:pPr>
      <w:r>
        <w:rPr>
          <w:rFonts w:cs="Arial"/>
          <w:b/>
          <w:sz w:val="24"/>
          <w:szCs w:val="24"/>
        </w:rPr>
        <w:t>La entrada de pedidos sobrepasa por primera vez la frontera de los mil millones.</w:t>
      </w:r>
    </w:p>
    <w:p w:rsidR="00806EBB" w:rsidRDefault="00806EBB" w:rsidP="006E2819">
      <w:pPr>
        <w:pStyle w:val="Listenabsatz"/>
        <w:numPr>
          <w:ilvl w:val="0"/>
          <w:numId w:val="24"/>
        </w:numPr>
        <w:tabs>
          <w:tab w:val="left" w:pos="7797"/>
        </w:tabs>
        <w:ind w:right="1268"/>
        <w:rPr>
          <w:rFonts w:cs="Arial"/>
          <w:b/>
          <w:sz w:val="24"/>
          <w:szCs w:val="24"/>
        </w:rPr>
      </w:pPr>
      <w:r>
        <w:rPr>
          <w:rFonts w:cs="Arial"/>
          <w:b/>
          <w:sz w:val="24"/>
          <w:szCs w:val="24"/>
        </w:rPr>
        <w:t>El EBIT crece a un valor récord de 50,5 millones de euros</w:t>
      </w:r>
    </w:p>
    <w:p w:rsidR="00A41A3E" w:rsidRDefault="00394110" w:rsidP="006E2819">
      <w:pPr>
        <w:pStyle w:val="Listenabsatz"/>
        <w:numPr>
          <w:ilvl w:val="0"/>
          <w:numId w:val="24"/>
        </w:numPr>
        <w:tabs>
          <w:tab w:val="left" w:pos="7797"/>
        </w:tabs>
        <w:ind w:right="1268"/>
        <w:rPr>
          <w:rFonts w:cs="Arial"/>
          <w:b/>
          <w:sz w:val="24"/>
          <w:szCs w:val="24"/>
        </w:rPr>
      </w:pPr>
      <w:r>
        <w:rPr>
          <w:rFonts w:cs="Arial"/>
          <w:b/>
          <w:sz w:val="24"/>
          <w:szCs w:val="24"/>
        </w:rPr>
        <w:t>Siete millones de euros para la participación de los empleados</w:t>
      </w:r>
    </w:p>
    <w:p w:rsidR="003F2C3D" w:rsidRPr="006E2819" w:rsidRDefault="001F2DEF" w:rsidP="006E2819">
      <w:pPr>
        <w:pStyle w:val="Listenabsatz"/>
        <w:numPr>
          <w:ilvl w:val="0"/>
          <w:numId w:val="24"/>
        </w:numPr>
        <w:tabs>
          <w:tab w:val="left" w:pos="7797"/>
        </w:tabs>
        <w:ind w:right="1268"/>
        <w:rPr>
          <w:rFonts w:cs="Arial"/>
          <w:b/>
          <w:sz w:val="24"/>
          <w:szCs w:val="24"/>
        </w:rPr>
      </w:pPr>
      <w:r>
        <w:rPr>
          <w:rFonts w:cs="Arial"/>
          <w:b/>
          <w:sz w:val="24"/>
          <w:szCs w:val="24"/>
        </w:rPr>
        <w:t xml:space="preserve">TGW invierte </w:t>
      </w:r>
      <w:r w:rsidRPr="00384C8F">
        <w:rPr>
          <w:rFonts w:cs="Arial"/>
          <w:b/>
          <w:sz w:val="24"/>
          <w:szCs w:val="24"/>
        </w:rPr>
        <w:t>200</w:t>
      </w:r>
      <w:r>
        <w:rPr>
          <w:rFonts w:cs="Arial"/>
          <w:b/>
          <w:sz w:val="24"/>
          <w:szCs w:val="24"/>
        </w:rPr>
        <w:t xml:space="preserve"> millones de euros en la ampliación </w:t>
      </w:r>
      <w:r>
        <w:rPr>
          <w:rFonts w:cs="Arial"/>
          <w:b/>
          <w:sz w:val="24"/>
          <w:szCs w:val="24"/>
        </w:rPr>
        <w:br/>
        <w:t>de sus sedes de la Alta Austria</w:t>
      </w:r>
    </w:p>
    <w:p w:rsidR="002D4595" w:rsidRPr="00384C8F" w:rsidRDefault="002D4595" w:rsidP="00F97F67">
      <w:pPr>
        <w:tabs>
          <w:tab w:val="left" w:pos="2514"/>
          <w:tab w:val="left" w:pos="7797"/>
        </w:tabs>
        <w:ind w:right="1693"/>
        <w:rPr>
          <w:rFonts w:cs="Arial"/>
          <w:b/>
          <w:sz w:val="16"/>
          <w:szCs w:val="16"/>
        </w:rPr>
      </w:pPr>
    </w:p>
    <w:p w:rsidR="00F97F67" w:rsidRDefault="00A93BE5" w:rsidP="00F97F67">
      <w:pPr>
        <w:tabs>
          <w:tab w:val="left" w:pos="7797"/>
        </w:tabs>
        <w:ind w:right="1693"/>
        <w:jc w:val="both"/>
        <w:rPr>
          <w:rFonts w:cs="Arial"/>
          <w:b/>
          <w:szCs w:val="20"/>
        </w:rPr>
      </w:pPr>
      <w:r>
        <w:rPr>
          <w:rFonts w:cs="Arial"/>
          <w:b/>
          <w:szCs w:val="20"/>
        </w:rPr>
        <w:t>(Marchtrenk, 23 de septiembre de 2021) TGW Logistics Group cierra el año fiscal 2020/2021 (del 1 de julio de 2020 al 30 de junio de 2021) con éxito con una facturación de 813,1 millones de euros. Con unos 1100 millones de euros, la entrada de pedidos ha superado por primera vez el umbral de los mil millones, y el EBIT ha ascendido a los 50,5 millones de euros. En los próximos meses, la empresa tecnológica creará 850 nuevos puestos de trabajo, de los cuales, más de la mitad será en la Alta Austria.</w:t>
      </w:r>
    </w:p>
    <w:p w:rsidR="00A93BE5" w:rsidRPr="004D52DA" w:rsidRDefault="00A93BE5" w:rsidP="00F97F67">
      <w:pPr>
        <w:tabs>
          <w:tab w:val="left" w:pos="7797"/>
        </w:tabs>
        <w:ind w:right="1693"/>
        <w:jc w:val="both"/>
        <w:rPr>
          <w:rFonts w:cs="Arial"/>
          <w:szCs w:val="20"/>
        </w:rPr>
      </w:pPr>
    </w:p>
    <w:p w:rsidR="00F23766" w:rsidRDefault="00F23766" w:rsidP="00F97F67">
      <w:pPr>
        <w:tabs>
          <w:tab w:val="left" w:pos="7797"/>
        </w:tabs>
        <w:ind w:right="1693"/>
        <w:jc w:val="both"/>
        <w:rPr>
          <w:rFonts w:cs="Arial"/>
          <w:szCs w:val="20"/>
        </w:rPr>
      </w:pPr>
      <w:r>
        <w:rPr>
          <w:rFonts w:cs="Arial"/>
          <w:szCs w:val="20"/>
        </w:rPr>
        <w:t>Harald Schröpf, Chief Executive Officer de TGW Logistics Group, se muestra satisfecho con el desarrollo:</w:t>
      </w:r>
    </w:p>
    <w:p w:rsidR="00F23766" w:rsidRPr="00384C8F" w:rsidRDefault="00F23766" w:rsidP="00F97F67">
      <w:pPr>
        <w:tabs>
          <w:tab w:val="left" w:pos="7797"/>
        </w:tabs>
        <w:ind w:right="1693"/>
        <w:jc w:val="both"/>
        <w:rPr>
          <w:rFonts w:cs="Arial"/>
          <w:sz w:val="16"/>
          <w:szCs w:val="16"/>
        </w:rPr>
      </w:pPr>
    </w:p>
    <w:p w:rsidR="00D319E5" w:rsidRDefault="00F23766" w:rsidP="00F97F67">
      <w:pPr>
        <w:tabs>
          <w:tab w:val="left" w:pos="6237"/>
          <w:tab w:val="left" w:pos="7797"/>
        </w:tabs>
        <w:ind w:left="567" w:right="2260"/>
        <w:jc w:val="both"/>
        <w:rPr>
          <w:rFonts w:cs="Arial"/>
          <w:i/>
          <w:szCs w:val="20"/>
        </w:rPr>
      </w:pPr>
      <w:r>
        <w:rPr>
          <w:rFonts w:cs="Arial"/>
          <w:i/>
          <w:szCs w:val="20"/>
        </w:rPr>
        <w:t xml:space="preserve">"El pasado año y medio ha sido todo un desafío para TGW, a la par que sobresaliente. Estoy muy impresionado con la implicación y el desempeño de nuestros empleados. Juntos hemos podido hacer frente a las repercusiones de la pandemia del coronavirus: por primera vez en nuestra historia, hemos pasado la frontera de los mil millones en entrada de pedidos, además de haber incrementado nuestro EBIT a una cifra récord de 50,5 millones de euros. </w:t>
      </w:r>
      <w:r>
        <w:rPr>
          <w:rFonts w:cs="Arial"/>
          <w:szCs w:val="20"/>
        </w:rPr>
        <w:t>Nuestra facturación asciende a 813,1 millones de euros".</w:t>
      </w:r>
    </w:p>
    <w:p w:rsidR="00A13A0A" w:rsidRPr="00384C8F" w:rsidRDefault="00A13A0A" w:rsidP="00A13A0A">
      <w:pPr>
        <w:tabs>
          <w:tab w:val="left" w:pos="6237"/>
          <w:tab w:val="left" w:pos="7797"/>
        </w:tabs>
        <w:ind w:right="2260"/>
        <w:jc w:val="both"/>
        <w:rPr>
          <w:rFonts w:cs="Arial"/>
          <w:i/>
          <w:sz w:val="16"/>
          <w:szCs w:val="16"/>
        </w:rPr>
      </w:pPr>
    </w:p>
    <w:p w:rsidR="00EF38CE" w:rsidRDefault="00060655" w:rsidP="00EF7188">
      <w:pPr>
        <w:tabs>
          <w:tab w:val="left" w:pos="6237"/>
          <w:tab w:val="left" w:pos="7797"/>
        </w:tabs>
        <w:ind w:right="1693"/>
        <w:jc w:val="both"/>
        <w:rPr>
          <w:rFonts w:cs="Arial"/>
          <w:szCs w:val="20"/>
        </w:rPr>
      </w:pPr>
      <w:r>
        <w:rPr>
          <w:rFonts w:cs="Arial"/>
          <w:szCs w:val="20"/>
        </w:rPr>
        <w:t xml:space="preserve">En marzo de 2021, TGW vendió su división norteamericana de tecnología de transportadores a su inversor estratégico. </w:t>
      </w:r>
    </w:p>
    <w:p w:rsidR="00EF38CE" w:rsidRPr="00384C8F" w:rsidRDefault="00EF38CE" w:rsidP="00EF7188">
      <w:pPr>
        <w:tabs>
          <w:tab w:val="left" w:pos="6237"/>
          <w:tab w:val="left" w:pos="7797"/>
        </w:tabs>
        <w:ind w:right="1693"/>
        <w:jc w:val="both"/>
        <w:rPr>
          <w:rFonts w:cs="Arial"/>
          <w:sz w:val="16"/>
          <w:szCs w:val="16"/>
        </w:rPr>
      </w:pPr>
    </w:p>
    <w:p w:rsidR="001F2C8B" w:rsidRPr="002A41CC" w:rsidRDefault="00D067FC" w:rsidP="002A41CC">
      <w:pPr>
        <w:tabs>
          <w:tab w:val="left" w:pos="6237"/>
          <w:tab w:val="left" w:pos="7230"/>
        </w:tabs>
        <w:ind w:left="567" w:right="2260"/>
        <w:jc w:val="both"/>
        <w:rPr>
          <w:rFonts w:cs="Arial"/>
          <w:i/>
          <w:szCs w:val="20"/>
        </w:rPr>
      </w:pPr>
      <w:r>
        <w:rPr>
          <w:rFonts w:cs="Arial"/>
          <w:i/>
          <w:szCs w:val="20"/>
        </w:rPr>
        <w:t xml:space="preserve">"Este paso forma parte de nuestra estrategia global de estandarización. La facturación de la división vendida –en el año fiscal 2019/20 fue de alrededor de 80 millones de euros– se sacó de la facturación total por motivos técnico-contables. Teniendo en cuenta esta parte vendida de la empresa, la facturación de TGW hubiera crecido un 10 %." </w:t>
      </w:r>
    </w:p>
    <w:p w:rsidR="00300D12" w:rsidRDefault="006E5B37" w:rsidP="00EF7188">
      <w:pPr>
        <w:tabs>
          <w:tab w:val="left" w:pos="6237"/>
          <w:tab w:val="left" w:pos="7797"/>
        </w:tabs>
        <w:ind w:right="1693"/>
        <w:jc w:val="both"/>
        <w:rPr>
          <w:rFonts w:cs="Arial"/>
          <w:szCs w:val="20"/>
        </w:rPr>
      </w:pPr>
      <w:r>
        <w:rPr>
          <w:rFonts w:cs="Arial"/>
          <w:szCs w:val="20"/>
        </w:rPr>
        <w:lastRenderedPageBreak/>
        <w:t>En el año fiscal en curso, TGW se propone alcanzar otro objetivo: la barrera de mil millones en facturación. Se espera que la entrada de pedidos supere de nuevo claramente la barrera de los mil millones, siendo los mercados estratégicos de crecimiento Europa y Norteamérica.</w:t>
      </w:r>
    </w:p>
    <w:p w:rsidR="000E1E91" w:rsidRPr="00752619" w:rsidRDefault="000E1E91" w:rsidP="00EF7188">
      <w:pPr>
        <w:tabs>
          <w:tab w:val="left" w:pos="6237"/>
          <w:tab w:val="left" w:pos="7797"/>
        </w:tabs>
        <w:ind w:right="1693"/>
        <w:jc w:val="both"/>
        <w:rPr>
          <w:rFonts w:cs="Arial"/>
          <w:sz w:val="14"/>
          <w:szCs w:val="14"/>
        </w:rPr>
      </w:pPr>
    </w:p>
    <w:p w:rsidR="00D319E5" w:rsidRDefault="00C43A13" w:rsidP="00F97F67">
      <w:pPr>
        <w:tabs>
          <w:tab w:val="left" w:pos="6237"/>
          <w:tab w:val="left" w:pos="7797"/>
        </w:tabs>
        <w:ind w:right="2402"/>
        <w:jc w:val="both"/>
        <w:rPr>
          <w:rFonts w:cs="Arial"/>
          <w:b/>
          <w:szCs w:val="20"/>
        </w:rPr>
      </w:pPr>
      <w:r>
        <w:rPr>
          <w:rFonts w:cs="Arial"/>
          <w:b/>
          <w:szCs w:val="20"/>
        </w:rPr>
        <w:t>Inversiones en inteligencia artificial, software y robótica</w:t>
      </w:r>
    </w:p>
    <w:p w:rsidR="000E1E91" w:rsidRPr="00752619" w:rsidRDefault="000E1E91" w:rsidP="00F97F67">
      <w:pPr>
        <w:tabs>
          <w:tab w:val="left" w:pos="6237"/>
          <w:tab w:val="left" w:pos="7797"/>
        </w:tabs>
        <w:ind w:right="2402"/>
        <w:jc w:val="both"/>
        <w:rPr>
          <w:rFonts w:cs="Arial"/>
          <w:b/>
          <w:sz w:val="14"/>
          <w:szCs w:val="14"/>
        </w:rPr>
      </w:pPr>
    </w:p>
    <w:p w:rsidR="00EF38CE" w:rsidRDefault="00692972" w:rsidP="00C22720">
      <w:pPr>
        <w:tabs>
          <w:tab w:val="left" w:pos="6237"/>
          <w:tab w:val="left" w:pos="7797"/>
        </w:tabs>
        <w:ind w:right="1693"/>
        <w:jc w:val="both"/>
        <w:rPr>
          <w:rFonts w:cs="Arial"/>
          <w:szCs w:val="20"/>
        </w:rPr>
      </w:pPr>
      <w:r>
        <w:rPr>
          <w:rFonts w:cs="Arial"/>
          <w:szCs w:val="20"/>
        </w:rPr>
        <w:t>El presupuesto de investigación y desarrollo aumentó más del 17 %, ascendiendo a 32,8 millones de euros. En el ejercicio en curso, este valor volverá a subir sustancialmente. Los puntos principales están en las áreas de inteligencia artificial, software y robótica. Estas tecnologías también constituyen la base para automatizar en el mayor grado posible los procesos de centros logísticos para los cuales resulta extremadamente difícil encontrar empleados.</w:t>
      </w:r>
    </w:p>
    <w:p w:rsidR="00C43A13" w:rsidRPr="00384C8F" w:rsidRDefault="00C43A13" w:rsidP="00C22720">
      <w:pPr>
        <w:tabs>
          <w:tab w:val="left" w:pos="6237"/>
          <w:tab w:val="left" w:pos="7797"/>
        </w:tabs>
        <w:ind w:right="1693"/>
        <w:jc w:val="both"/>
        <w:rPr>
          <w:rFonts w:cs="Arial"/>
          <w:sz w:val="16"/>
          <w:szCs w:val="16"/>
        </w:rPr>
      </w:pPr>
    </w:p>
    <w:p w:rsidR="006B47AA" w:rsidRPr="00806EBB" w:rsidRDefault="008B2ED2" w:rsidP="00F97F67">
      <w:pPr>
        <w:tabs>
          <w:tab w:val="left" w:pos="6237"/>
          <w:tab w:val="left" w:pos="7797"/>
        </w:tabs>
        <w:ind w:right="2402"/>
        <w:jc w:val="both"/>
        <w:rPr>
          <w:rFonts w:cs="Arial"/>
          <w:b/>
          <w:szCs w:val="20"/>
        </w:rPr>
      </w:pPr>
      <w:r>
        <w:rPr>
          <w:rFonts w:cs="Arial"/>
          <w:b/>
          <w:szCs w:val="20"/>
        </w:rPr>
        <w:t>Siete millones de euros para la participación de los empleados</w:t>
      </w:r>
    </w:p>
    <w:p w:rsidR="0003447B" w:rsidRPr="00384C8F" w:rsidRDefault="0003447B" w:rsidP="00F97F67">
      <w:pPr>
        <w:tabs>
          <w:tab w:val="left" w:pos="7797"/>
        </w:tabs>
        <w:ind w:right="1693"/>
        <w:jc w:val="both"/>
        <w:rPr>
          <w:rFonts w:cs="Arial"/>
          <w:sz w:val="16"/>
          <w:szCs w:val="16"/>
        </w:rPr>
      </w:pPr>
    </w:p>
    <w:p w:rsidR="00232D10" w:rsidRDefault="00871F96" w:rsidP="00F97F67">
      <w:pPr>
        <w:tabs>
          <w:tab w:val="left" w:pos="7797"/>
        </w:tabs>
        <w:ind w:right="1693"/>
        <w:jc w:val="both"/>
        <w:rPr>
          <w:rFonts w:cs="Arial"/>
          <w:szCs w:val="20"/>
        </w:rPr>
      </w:pPr>
      <w:r>
        <w:rPr>
          <w:rFonts w:cs="Arial"/>
          <w:szCs w:val="20"/>
        </w:rPr>
        <w:t>Para el año ejercicio de 2020/21, TGW repartirá una participación a sus empleados por un importe total de siete millones de euros, siendo ya por cuarta vez. Este concepto se centra en la asunción de responsabilidades y la participación equitativa en el éxito económico: totalmente en consonancia con la filosofía de "Las personas en el centro: aprender y crecer". Los empleados pueden elegir entre recibir dinero o días de vacaciones adicionales; o, por primera vez, beneficiarse de una nueva oferta relacionada con la salud.</w:t>
      </w:r>
    </w:p>
    <w:p w:rsidR="00AE4EDA" w:rsidRPr="00752619" w:rsidRDefault="00AE4EDA" w:rsidP="00695F5D">
      <w:pPr>
        <w:ind w:right="1693"/>
        <w:rPr>
          <w:rFonts w:cs="Arial"/>
          <w:b/>
          <w:sz w:val="14"/>
          <w:szCs w:val="14"/>
          <w:lang w:val="en-AU"/>
        </w:rPr>
      </w:pPr>
    </w:p>
    <w:p w:rsidR="0034111E" w:rsidRPr="00DB6F16" w:rsidRDefault="001F2C8B" w:rsidP="00F97F67">
      <w:pPr>
        <w:ind w:right="1693"/>
        <w:jc w:val="both"/>
        <w:rPr>
          <w:rFonts w:cs="Arial"/>
          <w:b/>
          <w:szCs w:val="20"/>
        </w:rPr>
      </w:pPr>
      <w:r>
        <w:rPr>
          <w:rFonts w:cs="Arial"/>
          <w:b/>
          <w:szCs w:val="20"/>
        </w:rPr>
        <w:t>TGW crea 850 nuevos puestos de trabajo</w:t>
      </w:r>
    </w:p>
    <w:p w:rsidR="0034111E" w:rsidRPr="00752619" w:rsidRDefault="0034111E" w:rsidP="00F97F67">
      <w:pPr>
        <w:ind w:right="1693"/>
        <w:jc w:val="both"/>
        <w:rPr>
          <w:rFonts w:cs="Arial"/>
          <w:sz w:val="14"/>
          <w:szCs w:val="14"/>
        </w:rPr>
      </w:pPr>
    </w:p>
    <w:p w:rsidR="0034111E" w:rsidRDefault="008961A5" w:rsidP="00F97F67">
      <w:pPr>
        <w:ind w:right="1693"/>
        <w:jc w:val="both"/>
        <w:rPr>
          <w:rFonts w:cs="Arial"/>
          <w:szCs w:val="20"/>
        </w:rPr>
      </w:pPr>
      <w:r>
        <w:rPr>
          <w:rFonts w:cs="Arial"/>
          <w:szCs w:val="20"/>
        </w:rPr>
        <w:t>El número de empleados creció en 2020/21 hasta los 3766 empleados. El especialista en intralogística TGW sigue apostando por su curso de crecimiento y creará en 850 puestos de trabajo adicionales en el ejercicio en curso, de los cuales, más de la mitad serán en la Alta Austria. La búsqueda se centrará, sobre todo, en especialistas de los ámbitos de software y TI, control, técnicos de servicio y especialistas en desarrollo. Harald Schröpf resalta:</w:t>
      </w:r>
    </w:p>
    <w:p w:rsidR="00EC6F51" w:rsidRDefault="00EC6F51" w:rsidP="00D5780A">
      <w:pPr>
        <w:ind w:right="2260"/>
        <w:jc w:val="both"/>
        <w:rPr>
          <w:rFonts w:cs="Arial"/>
          <w:i/>
          <w:szCs w:val="20"/>
        </w:rPr>
      </w:pPr>
    </w:p>
    <w:p w:rsidR="005361F2" w:rsidRPr="00C81404" w:rsidRDefault="00EC6F51" w:rsidP="00C81404">
      <w:pPr>
        <w:ind w:left="567" w:right="2260"/>
        <w:jc w:val="both"/>
        <w:rPr>
          <w:rFonts w:cs="Arial"/>
          <w:i/>
          <w:szCs w:val="20"/>
        </w:rPr>
      </w:pPr>
      <w:r>
        <w:rPr>
          <w:rFonts w:cs="Arial"/>
          <w:i/>
          <w:szCs w:val="20"/>
        </w:rPr>
        <w:t>"Una parte esencial del éxito radica en el Know-how y el desempeño de nuestros empleados. Como empresa tecnológica, actuamos en un sector con gran dinamismo y fuerza innovadora. Es imprescindible contar con un equipo fuerte para conseguir los mejores resultados para nuestros clientes internacionales. Por ello, además de trabajos interesantes, ofrecemos un entorno laboral muy moderno, numerosos beneficios, horarios de trabajo flexibles y un amplio modelo de teletrabajo".</w:t>
      </w:r>
    </w:p>
    <w:p w:rsidR="00D63258" w:rsidRDefault="002D5CA1" w:rsidP="00B364CF">
      <w:pPr>
        <w:ind w:right="1693"/>
        <w:jc w:val="both"/>
        <w:rPr>
          <w:rFonts w:cs="Arial"/>
          <w:b/>
          <w:szCs w:val="20"/>
        </w:rPr>
      </w:pPr>
      <w:proofErr w:type="spellStart"/>
      <w:r>
        <w:rPr>
          <w:rFonts w:cs="Arial"/>
          <w:b/>
          <w:szCs w:val="20"/>
        </w:rPr>
        <w:lastRenderedPageBreak/>
        <w:t>Inversión</w:t>
      </w:r>
      <w:proofErr w:type="spellEnd"/>
      <w:r>
        <w:rPr>
          <w:rFonts w:cs="Arial"/>
          <w:b/>
          <w:szCs w:val="20"/>
        </w:rPr>
        <w:t xml:space="preserve"> en </w:t>
      </w:r>
      <w:proofErr w:type="spellStart"/>
      <w:r>
        <w:rPr>
          <w:rFonts w:cs="Arial"/>
          <w:b/>
          <w:szCs w:val="20"/>
        </w:rPr>
        <w:t>emplazamiento</w:t>
      </w:r>
      <w:proofErr w:type="spellEnd"/>
      <w:r>
        <w:rPr>
          <w:rFonts w:cs="Arial"/>
          <w:b/>
          <w:szCs w:val="20"/>
        </w:rPr>
        <w:t xml:space="preserve"> </w:t>
      </w:r>
      <w:proofErr w:type="spellStart"/>
      <w:r>
        <w:rPr>
          <w:rFonts w:cs="Arial"/>
          <w:b/>
          <w:szCs w:val="20"/>
        </w:rPr>
        <w:t>por</w:t>
      </w:r>
      <w:proofErr w:type="spellEnd"/>
      <w:r>
        <w:rPr>
          <w:rFonts w:cs="Arial"/>
          <w:b/>
          <w:szCs w:val="20"/>
        </w:rPr>
        <w:t xml:space="preserve"> </w:t>
      </w:r>
      <w:proofErr w:type="spellStart"/>
      <w:r>
        <w:rPr>
          <w:rFonts w:cs="Arial"/>
          <w:b/>
          <w:szCs w:val="20"/>
        </w:rPr>
        <w:t>un</w:t>
      </w:r>
      <w:proofErr w:type="spellEnd"/>
      <w:r>
        <w:rPr>
          <w:rFonts w:cs="Arial"/>
          <w:b/>
          <w:szCs w:val="20"/>
        </w:rPr>
        <w:t xml:space="preserve"> </w:t>
      </w:r>
      <w:proofErr w:type="spellStart"/>
      <w:r>
        <w:rPr>
          <w:rFonts w:cs="Arial"/>
          <w:b/>
          <w:szCs w:val="20"/>
        </w:rPr>
        <w:t>importe</w:t>
      </w:r>
      <w:proofErr w:type="spellEnd"/>
      <w:r>
        <w:rPr>
          <w:rFonts w:cs="Arial"/>
          <w:b/>
          <w:szCs w:val="20"/>
        </w:rPr>
        <w:t xml:space="preserve"> de 200 </w:t>
      </w:r>
      <w:proofErr w:type="spellStart"/>
      <w:r>
        <w:rPr>
          <w:rFonts w:cs="Arial"/>
          <w:b/>
          <w:szCs w:val="20"/>
        </w:rPr>
        <w:t>millones</w:t>
      </w:r>
      <w:proofErr w:type="spellEnd"/>
      <w:r>
        <w:rPr>
          <w:rFonts w:cs="Arial"/>
          <w:b/>
          <w:szCs w:val="20"/>
        </w:rPr>
        <w:t xml:space="preserve"> de </w:t>
      </w:r>
      <w:proofErr w:type="spellStart"/>
      <w:r>
        <w:rPr>
          <w:rFonts w:cs="Arial"/>
          <w:b/>
          <w:szCs w:val="20"/>
        </w:rPr>
        <w:t>euros</w:t>
      </w:r>
      <w:proofErr w:type="spellEnd"/>
    </w:p>
    <w:p w:rsidR="0047686F" w:rsidRDefault="0047686F" w:rsidP="00B364CF">
      <w:pPr>
        <w:ind w:right="1693"/>
        <w:jc w:val="both"/>
        <w:rPr>
          <w:rFonts w:cs="Arial"/>
          <w:b/>
          <w:szCs w:val="20"/>
        </w:rPr>
      </w:pPr>
    </w:p>
    <w:p w:rsidR="006872A1" w:rsidRDefault="00D63258" w:rsidP="00806EBB">
      <w:pPr>
        <w:ind w:right="1693"/>
        <w:jc w:val="both"/>
        <w:rPr>
          <w:rFonts w:cs="Arial"/>
          <w:szCs w:val="20"/>
        </w:rPr>
      </w:pPr>
      <w:r>
        <w:rPr>
          <w:rFonts w:cs="Arial"/>
          <w:szCs w:val="20"/>
        </w:rPr>
        <w:t xml:space="preserve">Para </w:t>
      </w:r>
      <w:proofErr w:type="spellStart"/>
      <w:r>
        <w:rPr>
          <w:rFonts w:cs="Arial"/>
          <w:szCs w:val="20"/>
        </w:rPr>
        <w:t>establecer</w:t>
      </w:r>
      <w:proofErr w:type="spellEnd"/>
      <w:r>
        <w:rPr>
          <w:rFonts w:cs="Arial"/>
          <w:szCs w:val="20"/>
        </w:rPr>
        <w:t xml:space="preserve"> la </w:t>
      </w:r>
      <w:proofErr w:type="spellStart"/>
      <w:r>
        <w:rPr>
          <w:rFonts w:cs="Arial"/>
          <w:szCs w:val="20"/>
        </w:rPr>
        <w:t>base</w:t>
      </w:r>
      <w:proofErr w:type="spellEnd"/>
      <w:r>
        <w:rPr>
          <w:rFonts w:cs="Arial"/>
          <w:szCs w:val="20"/>
        </w:rPr>
        <w:t xml:space="preserve"> del </w:t>
      </w:r>
      <w:proofErr w:type="spellStart"/>
      <w:r>
        <w:rPr>
          <w:rFonts w:cs="Arial"/>
          <w:szCs w:val="20"/>
        </w:rPr>
        <w:t>crecimiento</w:t>
      </w:r>
      <w:proofErr w:type="spellEnd"/>
      <w:r>
        <w:rPr>
          <w:rFonts w:cs="Arial"/>
          <w:szCs w:val="20"/>
        </w:rPr>
        <w:t xml:space="preserve"> </w:t>
      </w:r>
      <w:proofErr w:type="spellStart"/>
      <w:r>
        <w:rPr>
          <w:rFonts w:cs="Arial"/>
          <w:szCs w:val="20"/>
        </w:rPr>
        <w:t>planificado</w:t>
      </w:r>
      <w:proofErr w:type="spellEnd"/>
      <w:r>
        <w:rPr>
          <w:rFonts w:cs="Arial"/>
          <w:szCs w:val="20"/>
        </w:rPr>
        <w:t xml:space="preserve">, TGW </w:t>
      </w:r>
      <w:proofErr w:type="spellStart"/>
      <w:r>
        <w:rPr>
          <w:rFonts w:cs="Arial"/>
          <w:szCs w:val="20"/>
        </w:rPr>
        <w:t>invertirá</w:t>
      </w:r>
      <w:proofErr w:type="spellEnd"/>
      <w:r>
        <w:rPr>
          <w:rFonts w:cs="Arial"/>
          <w:szCs w:val="20"/>
        </w:rPr>
        <w:t xml:space="preserve"> </w:t>
      </w:r>
      <w:proofErr w:type="spellStart"/>
      <w:r>
        <w:rPr>
          <w:rFonts w:cs="Arial"/>
          <w:szCs w:val="20"/>
        </w:rPr>
        <w:t>hasta</w:t>
      </w:r>
      <w:proofErr w:type="spellEnd"/>
      <w:r>
        <w:rPr>
          <w:rFonts w:cs="Arial"/>
          <w:szCs w:val="20"/>
        </w:rPr>
        <w:t xml:space="preserve"> 202</w:t>
      </w:r>
      <w:r w:rsidR="00384C8F">
        <w:rPr>
          <w:rFonts w:cs="Arial"/>
          <w:szCs w:val="20"/>
        </w:rPr>
        <w:t>6</w:t>
      </w:r>
      <w:r>
        <w:rPr>
          <w:rFonts w:cs="Arial"/>
          <w:szCs w:val="20"/>
        </w:rPr>
        <w:t xml:space="preserve"> </w:t>
      </w:r>
      <w:proofErr w:type="spellStart"/>
      <w:r>
        <w:rPr>
          <w:rFonts w:cs="Arial"/>
          <w:szCs w:val="20"/>
        </w:rPr>
        <w:t>alrededor</w:t>
      </w:r>
      <w:proofErr w:type="spellEnd"/>
      <w:r>
        <w:rPr>
          <w:rFonts w:cs="Arial"/>
          <w:szCs w:val="20"/>
        </w:rPr>
        <w:t xml:space="preserve"> de 200 millones en sus sedes. En </w:t>
      </w:r>
      <w:r w:rsidR="00384C8F" w:rsidRPr="00384C8F">
        <w:rPr>
          <w:rFonts w:cs="Arial"/>
          <w:szCs w:val="20"/>
        </w:rPr>
        <w:t xml:space="preserve">las </w:t>
      </w:r>
      <w:proofErr w:type="spellStart"/>
      <w:r w:rsidR="00384C8F" w:rsidRPr="00384C8F">
        <w:rPr>
          <w:rFonts w:cs="Arial"/>
          <w:szCs w:val="20"/>
        </w:rPr>
        <w:t>localidades</w:t>
      </w:r>
      <w:proofErr w:type="spellEnd"/>
      <w:r w:rsidR="00384C8F" w:rsidRPr="00384C8F">
        <w:rPr>
          <w:rFonts w:cs="Arial"/>
          <w:szCs w:val="20"/>
        </w:rPr>
        <w:t xml:space="preserve"> </w:t>
      </w:r>
      <w:proofErr w:type="spellStart"/>
      <w:r w:rsidR="00384C8F" w:rsidRPr="00384C8F">
        <w:rPr>
          <w:rFonts w:cs="Arial"/>
          <w:szCs w:val="20"/>
        </w:rPr>
        <w:t>austriacas</w:t>
      </w:r>
      <w:proofErr w:type="spellEnd"/>
      <w:r>
        <w:rPr>
          <w:rFonts w:cs="Arial"/>
          <w:szCs w:val="20"/>
        </w:rPr>
        <w:t xml:space="preserve">, </w:t>
      </w:r>
      <w:proofErr w:type="spellStart"/>
      <w:r>
        <w:rPr>
          <w:rFonts w:cs="Arial"/>
          <w:szCs w:val="20"/>
        </w:rPr>
        <w:t>habr</w:t>
      </w:r>
      <w:r w:rsidR="00384C8F">
        <w:rPr>
          <w:rFonts w:cs="Arial"/>
          <w:szCs w:val="20"/>
        </w:rPr>
        <w:t>á</w:t>
      </w:r>
      <w:proofErr w:type="spellEnd"/>
      <w:r w:rsidR="00384C8F">
        <w:rPr>
          <w:rFonts w:cs="Arial"/>
          <w:szCs w:val="20"/>
        </w:rPr>
        <w:t xml:space="preserve"> </w:t>
      </w:r>
      <w:proofErr w:type="spellStart"/>
      <w:r w:rsidR="00384C8F">
        <w:rPr>
          <w:rFonts w:cs="Arial"/>
          <w:szCs w:val="20"/>
        </w:rPr>
        <w:t>edificio</w:t>
      </w:r>
      <w:r w:rsidR="0047686F">
        <w:rPr>
          <w:rFonts w:cs="Arial"/>
          <w:szCs w:val="20"/>
        </w:rPr>
        <w:t>s</w:t>
      </w:r>
      <w:proofErr w:type="spellEnd"/>
      <w:r w:rsidR="00384C8F">
        <w:rPr>
          <w:rFonts w:cs="Arial"/>
          <w:szCs w:val="20"/>
        </w:rPr>
        <w:t xml:space="preserve"> de </w:t>
      </w:r>
      <w:proofErr w:type="spellStart"/>
      <w:r w:rsidR="00384C8F">
        <w:rPr>
          <w:rFonts w:cs="Arial"/>
          <w:szCs w:val="20"/>
        </w:rPr>
        <w:t>oficinas</w:t>
      </w:r>
      <w:proofErr w:type="spellEnd"/>
      <w:r w:rsidR="00384C8F">
        <w:rPr>
          <w:rFonts w:cs="Arial"/>
          <w:szCs w:val="20"/>
        </w:rPr>
        <w:t xml:space="preserve"> </w:t>
      </w:r>
      <w:proofErr w:type="spellStart"/>
      <w:r w:rsidR="00384C8F">
        <w:rPr>
          <w:rFonts w:cs="Arial"/>
          <w:szCs w:val="20"/>
        </w:rPr>
        <w:t>para</w:t>
      </w:r>
      <w:proofErr w:type="spellEnd"/>
      <w:r w:rsidR="00384C8F">
        <w:rPr>
          <w:rFonts w:cs="Arial"/>
          <w:szCs w:val="20"/>
        </w:rPr>
        <w:t xml:space="preserve"> 8</w:t>
      </w:r>
      <w:r>
        <w:rPr>
          <w:rFonts w:cs="Arial"/>
          <w:szCs w:val="20"/>
        </w:rPr>
        <w:t xml:space="preserve">00 </w:t>
      </w:r>
      <w:proofErr w:type="spellStart"/>
      <w:r>
        <w:rPr>
          <w:rFonts w:cs="Arial"/>
          <w:szCs w:val="20"/>
        </w:rPr>
        <w:t>empleados</w:t>
      </w:r>
      <w:proofErr w:type="spellEnd"/>
      <w:r>
        <w:rPr>
          <w:rFonts w:cs="Arial"/>
          <w:szCs w:val="20"/>
        </w:rPr>
        <w:t xml:space="preserve">, </w:t>
      </w:r>
      <w:proofErr w:type="spellStart"/>
      <w:r>
        <w:rPr>
          <w:rFonts w:cs="Arial"/>
          <w:szCs w:val="20"/>
        </w:rPr>
        <w:t>así</w:t>
      </w:r>
      <w:proofErr w:type="spellEnd"/>
      <w:r>
        <w:rPr>
          <w:rFonts w:cs="Arial"/>
          <w:szCs w:val="20"/>
        </w:rPr>
        <w:t xml:space="preserve"> </w:t>
      </w:r>
      <w:proofErr w:type="spellStart"/>
      <w:r>
        <w:rPr>
          <w:rFonts w:cs="Arial"/>
          <w:szCs w:val="20"/>
        </w:rPr>
        <w:t>como</w:t>
      </w:r>
      <w:proofErr w:type="spellEnd"/>
      <w:r>
        <w:rPr>
          <w:rFonts w:cs="Arial"/>
          <w:szCs w:val="20"/>
        </w:rPr>
        <w:t xml:space="preserve"> </w:t>
      </w:r>
      <w:proofErr w:type="spellStart"/>
      <w:r>
        <w:rPr>
          <w:rFonts w:cs="Arial"/>
          <w:szCs w:val="20"/>
        </w:rPr>
        <w:t>una</w:t>
      </w:r>
      <w:proofErr w:type="spellEnd"/>
      <w:r>
        <w:rPr>
          <w:rFonts w:cs="Arial"/>
          <w:szCs w:val="20"/>
        </w:rPr>
        <w:t xml:space="preserve"> </w:t>
      </w:r>
      <w:proofErr w:type="spellStart"/>
      <w:r>
        <w:rPr>
          <w:rFonts w:cs="Arial"/>
          <w:szCs w:val="20"/>
        </w:rPr>
        <w:t>nave</w:t>
      </w:r>
      <w:proofErr w:type="spellEnd"/>
      <w:r>
        <w:rPr>
          <w:rFonts w:cs="Arial"/>
          <w:szCs w:val="20"/>
        </w:rPr>
        <w:t xml:space="preserve"> de producción, incluido </w:t>
      </w:r>
      <w:proofErr w:type="spellStart"/>
      <w:r>
        <w:rPr>
          <w:rFonts w:cs="Arial"/>
          <w:szCs w:val="20"/>
        </w:rPr>
        <w:t>un</w:t>
      </w:r>
      <w:proofErr w:type="spellEnd"/>
      <w:r>
        <w:rPr>
          <w:rFonts w:cs="Arial"/>
          <w:szCs w:val="20"/>
        </w:rPr>
        <w:t xml:space="preserve"> </w:t>
      </w:r>
      <w:proofErr w:type="spellStart"/>
      <w:r>
        <w:rPr>
          <w:rFonts w:cs="Arial"/>
          <w:szCs w:val="20"/>
        </w:rPr>
        <w:t>almacén</w:t>
      </w:r>
      <w:proofErr w:type="spellEnd"/>
      <w:r>
        <w:rPr>
          <w:rFonts w:cs="Arial"/>
          <w:szCs w:val="20"/>
        </w:rPr>
        <w:t xml:space="preserve"> </w:t>
      </w:r>
      <w:proofErr w:type="spellStart"/>
      <w:r>
        <w:rPr>
          <w:rFonts w:cs="Arial"/>
          <w:szCs w:val="20"/>
        </w:rPr>
        <w:t>altamente</w:t>
      </w:r>
      <w:proofErr w:type="spellEnd"/>
      <w:r>
        <w:rPr>
          <w:rFonts w:cs="Arial"/>
          <w:szCs w:val="20"/>
        </w:rPr>
        <w:t xml:space="preserve"> </w:t>
      </w:r>
      <w:proofErr w:type="spellStart"/>
      <w:r>
        <w:rPr>
          <w:rFonts w:cs="Arial"/>
          <w:szCs w:val="20"/>
        </w:rPr>
        <w:t>automatizado</w:t>
      </w:r>
      <w:proofErr w:type="spellEnd"/>
      <w:r>
        <w:rPr>
          <w:rFonts w:cs="Arial"/>
          <w:szCs w:val="20"/>
        </w:rPr>
        <w:t xml:space="preserve"> </w:t>
      </w:r>
      <w:proofErr w:type="spellStart"/>
      <w:r>
        <w:rPr>
          <w:rFonts w:cs="Arial"/>
          <w:szCs w:val="20"/>
        </w:rPr>
        <w:t>co</w:t>
      </w:r>
      <w:r w:rsidR="00384C8F">
        <w:rPr>
          <w:rFonts w:cs="Arial"/>
          <w:szCs w:val="20"/>
        </w:rPr>
        <w:t>n</w:t>
      </w:r>
      <w:proofErr w:type="spellEnd"/>
      <w:r w:rsidR="00384C8F">
        <w:rPr>
          <w:rFonts w:cs="Arial"/>
          <w:szCs w:val="20"/>
        </w:rPr>
        <w:t xml:space="preserve"> </w:t>
      </w:r>
      <w:proofErr w:type="spellStart"/>
      <w:r w:rsidR="00384C8F">
        <w:rPr>
          <w:rFonts w:cs="Arial"/>
          <w:szCs w:val="20"/>
        </w:rPr>
        <w:t>una</w:t>
      </w:r>
      <w:proofErr w:type="spellEnd"/>
      <w:r w:rsidR="00384C8F">
        <w:rPr>
          <w:rFonts w:cs="Arial"/>
          <w:szCs w:val="20"/>
        </w:rPr>
        <w:t xml:space="preserve"> </w:t>
      </w:r>
      <w:proofErr w:type="spellStart"/>
      <w:r w:rsidR="00384C8F">
        <w:rPr>
          <w:rFonts w:cs="Arial"/>
          <w:szCs w:val="20"/>
        </w:rPr>
        <w:t>supe</w:t>
      </w:r>
      <w:bookmarkStart w:id="0" w:name="_GoBack"/>
      <w:bookmarkEnd w:id="0"/>
      <w:r w:rsidR="00384C8F">
        <w:rPr>
          <w:rFonts w:cs="Arial"/>
          <w:szCs w:val="20"/>
        </w:rPr>
        <w:t>rficie</w:t>
      </w:r>
      <w:proofErr w:type="spellEnd"/>
      <w:r w:rsidR="00384C8F">
        <w:rPr>
          <w:rFonts w:cs="Arial"/>
          <w:szCs w:val="20"/>
        </w:rPr>
        <w:t xml:space="preserve"> total de </w:t>
      </w:r>
      <w:proofErr w:type="spellStart"/>
      <w:r w:rsidR="00384C8F">
        <w:rPr>
          <w:rFonts w:cs="Arial"/>
          <w:szCs w:val="20"/>
        </w:rPr>
        <w:t>unos</w:t>
      </w:r>
      <w:proofErr w:type="spellEnd"/>
      <w:r w:rsidR="00384C8F">
        <w:rPr>
          <w:rFonts w:cs="Arial"/>
          <w:szCs w:val="20"/>
        </w:rPr>
        <w:t xml:space="preserve"> 20</w:t>
      </w:r>
      <w:r>
        <w:rPr>
          <w:rFonts w:cs="Arial"/>
          <w:szCs w:val="20"/>
        </w:rPr>
        <w:t>.000 m². Además, se está construyendo un centro de formación y perfeccionamiento, con el que TGW pone en marcha un programa integral de formación profesional y personal.</w:t>
      </w:r>
    </w:p>
    <w:p w:rsidR="00DB146E" w:rsidRDefault="00DB146E" w:rsidP="00806EBB">
      <w:pPr>
        <w:ind w:right="1693"/>
        <w:jc w:val="both"/>
        <w:rPr>
          <w:rFonts w:cs="Arial"/>
          <w:szCs w:val="20"/>
        </w:rPr>
      </w:pPr>
    </w:p>
    <w:p w:rsidR="009B1B34" w:rsidRDefault="00DB146E" w:rsidP="00806EBB">
      <w:pPr>
        <w:ind w:right="1693"/>
        <w:jc w:val="both"/>
        <w:rPr>
          <w:rFonts w:cs="Arial"/>
          <w:szCs w:val="20"/>
        </w:rPr>
      </w:pPr>
      <w:r>
        <w:rPr>
          <w:rFonts w:cs="Arial"/>
          <w:szCs w:val="20"/>
        </w:rPr>
        <w:t xml:space="preserve">Además, TGW también invertirá a nivel </w:t>
      </w:r>
      <w:proofErr w:type="spellStart"/>
      <w:r>
        <w:rPr>
          <w:rFonts w:cs="Arial"/>
          <w:szCs w:val="20"/>
        </w:rPr>
        <w:t>internacional</w:t>
      </w:r>
      <w:proofErr w:type="spellEnd"/>
      <w:r>
        <w:rPr>
          <w:rFonts w:cs="Arial"/>
          <w:szCs w:val="20"/>
        </w:rPr>
        <w:t xml:space="preserve"> en </w:t>
      </w:r>
      <w:proofErr w:type="spellStart"/>
      <w:r>
        <w:rPr>
          <w:rFonts w:cs="Arial"/>
          <w:szCs w:val="20"/>
        </w:rPr>
        <w:t>sus</w:t>
      </w:r>
      <w:proofErr w:type="spellEnd"/>
      <w:r>
        <w:rPr>
          <w:rFonts w:cs="Arial"/>
          <w:szCs w:val="20"/>
        </w:rPr>
        <w:t xml:space="preserve"> </w:t>
      </w:r>
      <w:proofErr w:type="spellStart"/>
      <w:r>
        <w:rPr>
          <w:rFonts w:cs="Arial"/>
          <w:szCs w:val="20"/>
        </w:rPr>
        <w:t>filiales</w:t>
      </w:r>
      <w:proofErr w:type="spellEnd"/>
      <w:r w:rsidR="00977E70">
        <w:rPr>
          <w:rFonts w:cs="Arial"/>
          <w:szCs w:val="20"/>
        </w:rPr>
        <w:t>: L</w:t>
      </w:r>
      <w:r>
        <w:rPr>
          <w:rFonts w:cs="Arial"/>
          <w:szCs w:val="20"/>
        </w:rPr>
        <w:t xml:space="preserve">os </w:t>
      </w:r>
      <w:proofErr w:type="spellStart"/>
      <w:r>
        <w:rPr>
          <w:rFonts w:cs="Arial"/>
          <w:szCs w:val="20"/>
        </w:rPr>
        <w:t>especialistas</w:t>
      </w:r>
      <w:proofErr w:type="spellEnd"/>
      <w:r>
        <w:rPr>
          <w:rFonts w:cs="Arial"/>
          <w:szCs w:val="20"/>
        </w:rPr>
        <w:t xml:space="preserve"> en </w:t>
      </w:r>
      <w:proofErr w:type="spellStart"/>
      <w:r>
        <w:rPr>
          <w:rFonts w:cs="Arial"/>
          <w:szCs w:val="20"/>
        </w:rPr>
        <w:t>automatización</w:t>
      </w:r>
      <w:proofErr w:type="spellEnd"/>
      <w:r>
        <w:rPr>
          <w:rFonts w:cs="Arial"/>
          <w:szCs w:val="20"/>
        </w:rPr>
        <w:t xml:space="preserve"> de TGW Robotics situados cerca de Rosenheim, (Baviera) han adquirido recientemente unos nuevos terrenos de empresa de más del doble de superficie.</w:t>
      </w:r>
    </w:p>
    <w:p w:rsidR="00DB146E" w:rsidRDefault="00DB146E" w:rsidP="00806EBB">
      <w:pPr>
        <w:ind w:right="1693"/>
        <w:jc w:val="both"/>
        <w:rPr>
          <w:rFonts w:cs="Arial"/>
          <w:szCs w:val="20"/>
        </w:rPr>
      </w:pPr>
    </w:p>
    <w:p w:rsidR="009B1B34" w:rsidRPr="00F97F67" w:rsidRDefault="009B1B34" w:rsidP="009B1B34">
      <w:pPr>
        <w:tabs>
          <w:tab w:val="left" w:pos="6237"/>
          <w:tab w:val="left" w:pos="7797"/>
        </w:tabs>
        <w:ind w:left="567" w:right="2260"/>
        <w:jc w:val="both"/>
        <w:rPr>
          <w:rFonts w:cs="Arial"/>
          <w:i/>
          <w:szCs w:val="20"/>
        </w:rPr>
      </w:pPr>
      <w:r>
        <w:rPr>
          <w:rFonts w:cs="Arial"/>
          <w:i/>
          <w:szCs w:val="20"/>
        </w:rPr>
        <w:t>"Las señales apuntan a un mayor crecimiento. TGW está invirtiendo masivamente en investigación y desarrollo, infraestructura y formación y perfeccionamiento de sus empleados. La constitución como empresa fundacional nos da la seguridad y estabilidad necesarias para poder pensar y actuar a largo plazo."</w:t>
      </w:r>
    </w:p>
    <w:p w:rsidR="009B1B34" w:rsidRDefault="009B1B34" w:rsidP="00806EBB">
      <w:pPr>
        <w:ind w:right="1693"/>
        <w:jc w:val="both"/>
        <w:rPr>
          <w:rFonts w:cs="Arial"/>
          <w:szCs w:val="20"/>
        </w:rPr>
      </w:pPr>
    </w:p>
    <w:p w:rsidR="006341BC" w:rsidRDefault="006341BC" w:rsidP="00806EBB">
      <w:pPr>
        <w:ind w:right="1693"/>
        <w:jc w:val="both"/>
        <w:rPr>
          <w:rFonts w:cs="Arial"/>
          <w:szCs w:val="20"/>
        </w:rPr>
      </w:pPr>
    </w:p>
    <w:p w:rsidR="001F37F7" w:rsidRDefault="001F37F7" w:rsidP="00806EBB">
      <w:pPr>
        <w:ind w:right="1693"/>
        <w:jc w:val="both"/>
        <w:rPr>
          <w:rFonts w:cs="Arial"/>
          <w:szCs w:val="20"/>
        </w:rPr>
      </w:pPr>
    </w:p>
    <w:p w:rsidR="001F37F7" w:rsidRDefault="001F37F7" w:rsidP="00806EBB">
      <w:pPr>
        <w:ind w:right="1693"/>
        <w:jc w:val="both"/>
        <w:rPr>
          <w:rFonts w:cs="Arial"/>
          <w:szCs w:val="20"/>
        </w:rPr>
      </w:pPr>
    </w:p>
    <w:p w:rsidR="00DD14F8" w:rsidRDefault="00DD14F8" w:rsidP="00806EBB">
      <w:pPr>
        <w:ind w:right="1693"/>
        <w:jc w:val="both"/>
        <w:rPr>
          <w:rFonts w:cs="Arial"/>
          <w:szCs w:val="20"/>
        </w:rPr>
      </w:pPr>
    </w:p>
    <w:p w:rsidR="00DD14F8" w:rsidRDefault="00DD14F8" w:rsidP="00806EBB">
      <w:pPr>
        <w:ind w:right="1693"/>
        <w:jc w:val="both"/>
        <w:rPr>
          <w:rFonts w:cs="Arial"/>
          <w:szCs w:val="20"/>
        </w:rPr>
      </w:pPr>
    </w:p>
    <w:p w:rsidR="00DD14F8" w:rsidRDefault="00DD14F8" w:rsidP="00806EBB">
      <w:pPr>
        <w:ind w:right="1693"/>
        <w:jc w:val="both"/>
        <w:rPr>
          <w:rFonts w:cs="Arial"/>
          <w:szCs w:val="20"/>
        </w:rPr>
      </w:pPr>
    </w:p>
    <w:p w:rsidR="00DD14F8" w:rsidRDefault="00DD14F8" w:rsidP="00806EBB">
      <w:pPr>
        <w:ind w:right="1693"/>
        <w:jc w:val="both"/>
        <w:rPr>
          <w:rFonts w:cs="Arial"/>
          <w:szCs w:val="20"/>
        </w:rPr>
      </w:pPr>
    </w:p>
    <w:p w:rsidR="00DD14F8" w:rsidRDefault="00DD14F8" w:rsidP="00806EBB">
      <w:pPr>
        <w:ind w:right="1693"/>
        <w:jc w:val="both"/>
        <w:rPr>
          <w:rFonts w:cs="Arial"/>
          <w:szCs w:val="20"/>
        </w:rPr>
      </w:pPr>
    </w:p>
    <w:p w:rsidR="00DB146E" w:rsidRDefault="00DB146E" w:rsidP="00806EBB">
      <w:pPr>
        <w:ind w:right="1693"/>
        <w:jc w:val="both"/>
        <w:rPr>
          <w:rFonts w:cs="Arial"/>
          <w:szCs w:val="20"/>
        </w:rPr>
      </w:pPr>
    </w:p>
    <w:p w:rsidR="00DB146E" w:rsidRDefault="00DB146E" w:rsidP="00806EBB">
      <w:pPr>
        <w:ind w:right="1693"/>
        <w:jc w:val="both"/>
        <w:rPr>
          <w:rFonts w:cs="Arial"/>
          <w:szCs w:val="20"/>
        </w:rPr>
      </w:pPr>
    </w:p>
    <w:p w:rsidR="00DB146E" w:rsidRDefault="00DB146E" w:rsidP="00806EBB">
      <w:pPr>
        <w:ind w:right="1693"/>
        <w:jc w:val="both"/>
        <w:rPr>
          <w:rFonts w:cs="Arial"/>
          <w:szCs w:val="20"/>
        </w:rPr>
      </w:pPr>
    </w:p>
    <w:p w:rsidR="00E76E42" w:rsidRDefault="00E76E42" w:rsidP="0073483D">
      <w:pPr>
        <w:pStyle w:val="StandardWeb"/>
        <w:shd w:val="clear" w:color="auto" w:fill="FFFFFF"/>
        <w:spacing w:before="0" w:beforeAutospacing="0" w:after="0" w:afterAutospacing="0" w:line="360" w:lineRule="auto"/>
        <w:ind w:right="1837"/>
      </w:pPr>
    </w:p>
    <w:p w:rsidR="0047686F" w:rsidRDefault="0047686F" w:rsidP="0073483D">
      <w:pPr>
        <w:pStyle w:val="StandardWeb"/>
        <w:shd w:val="clear" w:color="auto" w:fill="FFFFFF"/>
        <w:spacing w:before="0" w:beforeAutospacing="0" w:after="0" w:afterAutospacing="0" w:line="360" w:lineRule="auto"/>
        <w:ind w:right="1837"/>
      </w:pPr>
    </w:p>
    <w:p w:rsidR="0047686F" w:rsidRDefault="0047686F" w:rsidP="0073483D">
      <w:pPr>
        <w:pStyle w:val="StandardWeb"/>
        <w:shd w:val="clear" w:color="auto" w:fill="FFFFFF"/>
        <w:spacing w:before="0" w:beforeAutospacing="0" w:after="0" w:afterAutospacing="0" w:line="360" w:lineRule="auto"/>
        <w:ind w:right="1837"/>
      </w:pPr>
    </w:p>
    <w:p w:rsidR="00E76E42" w:rsidRDefault="00E76E42" w:rsidP="0073483D">
      <w:pPr>
        <w:pStyle w:val="StandardWeb"/>
        <w:shd w:val="clear" w:color="auto" w:fill="FFFFFF"/>
        <w:spacing w:before="0" w:beforeAutospacing="0" w:after="0" w:afterAutospacing="0" w:line="360" w:lineRule="auto"/>
        <w:ind w:right="1837"/>
      </w:pPr>
    </w:p>
    <w:p w:rsidR="00514468" w:rsidRPr="007F4592" w:rsidRDefault="00977E70"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2B36BF">
          <w:rPr>
            <w:rStyle w:val="Hyperlink"/>
            <w:rFonts w:ascii="Arial" w:hAnsi="Arial" w:cs="Arial"/>
            <w:sz w:val="20"/>
            <w:szCs w:val="20"/>
          </w:rPr>
          <w:t>www.tgw-group.com</w:t>
        </w:r>
      </w:hyperlink>
      <w:r w:rsidR="002B36BF">
        <w:rPr>
          <w:rFonts w:ascii="Arial" w:hAnsi="Arial" w:cs="Arial"/>
          <w:sz w:val="20"/>
          <w:szCs w:val="20"/>
        </w:rPr>
        <w:br/>
      </w:r>
    </w:p>
    <w:p w:rsidR="000F039C" w:rsidRPr="007875E7"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rPr>
      </w:pPr>
      <w:r>
        <w:rPr>
          <w:rFonts w:ascii="Arial" w:hAnsi="Arial" w:cs="Arial"/>
          <w:b/>
          <w:sz w:val="20"/>
          <w:szCs w:val="20"/>
        </w:rPr>
        <w:t>Acerca de TGW Logistics Group:</w:t>
      </w:r>
    </w:p>
    <w:p w:rsidR="000F039C" w:rsidRDefault="000F039C" w:rsidP="000F039C">
      <w:pPr>
        <w:spacing w:line="240" w:lineRule="auto"/>
        <w:ind w:right="1837"/>
        <w:rPr>
          <w:rFonts w:cs="Arial"/>
          <w:szCs w:val="20"/>
        </w:rPr>
      </w:pPr>
      <w:r>
        <w:rPr>
          <w:rFonts w:cs="Arial"/>
          <w:szCs w:val="20"/>
        </w:rPr>
        <w:lastRenderedPageBreak/>
        <w:t xml:space="preserve">TGW Logistics Group es un proveedor internacional líder de soluciones de intralogística. Desde hace más 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rsidR="000F039C" w:rsidRDefault="000F039C" w:rsidP="000F039C">
      <w:pPr>
        <w:tabs>
          <w:tab w:val="left" w:pos="1697"/>
        </w:tabs>
        <w:spacing w:line="240" w:lineRule="auto"/>
        <w:ind w:right="1837"/>
        <w:rPr>
          <w:rFonts w:cs="Arial"/>
          <w:szCs w:val="20"/>
        </w:rPr>
      </w:pPr>
    </w:p>
    <w:p w:rsidR="000F039C" w:rsidRDefault="000F039C" w:rsidP="000F039C">
      <w:pPr>
        <w:spacing w:line="240" w:lineRule="auto"/>
        <w:ind w:right="1837"/>
        <w:rPr>
          <w:rFonts w:cs="Arial"/>
          <w:szCs w:val="20"/>
        </w:rPr>
      </w:pPr>
      <w:r>
        <w:rPr>
          <w:rFonts w:cs="Arial"/>
          <w:szCs w:val="20"/>
        </w:rPr>
        <w:t>TGW Logistics Group tiene oficinas en Europa, China y EE. UU. y emplea a más de 3.800 personas en todo el mundo. En el ejercicio 2020/21, la empresa obtuvo una facturación total de 813,1 millones de euros.</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b/>
          <w:szCs w:val="20"/>
        </w:rPr>
      </w:pPr>
      <w:r>
        <w:rPr>
          <w:rFonts w:cs="Arial"/>
          <w:b/>
          <w:szCs w:val="20"/>
        </w:rPr>
        <w:t>Ilustraciones:</w:t>
      </w:r>
    </w:p>
    <w:p w:rsidR="000F039C" w:rsidRDefault="000F039C" w:rsidP="000F039C">
      <w:pPr>
        <w:spacing w:line="240" w:lineRule="auto"/>
        <w:ind w:right="1837"/>
        <w:rPr>
          <w:rFonts w:cs="Arial"/>
          <w:szCs w:val="20"/>
        </w:rPr>
      </w:pPr>
      <w:r>
        <w:rPr>
          <w:rFonts w:cs="Arial"/>
          <w:szCs w:val="20"/>
        </w:rPr>
        <w:t>Reproducción sin comisiones previa indicación de la fuente y para notas de prensa relacionadas principalmente con TGW Logistics Group GmbH. Queda prohibida la reproducción con fines promocionales.</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b/>
          <w:szCs w:val="20"/>
        </w:rPr>
      </w:pPr>
      <w:r>
        <w:rPr>
          <w:rFonts w:cs="Arial"/>
          <w:b/>
          <w:szCs w:val="20"/>
        </w:rPr>
        <w:t>Contacto:</w:t>
      </w:r>
    </w:p>
    <w:p w:rsidR="000F039C" w:rsidRDefault="000F039C" w:rsidP="000F039C">
      <w:pPr>
        <w:spacing w:line="240" w:lineRule="auto"/>
        <w:ind w:right="1837"/>
        <w:rPr>
          <w:rFonts w:cs="Arial"/>
          <w:szCs w:val="20"/>
        </w:rPr>
      </w:pPr>
      <w:r>
        <w:rPr>
          <w:rFonts w:cs="Arial"/>
          <w:szCs w:val="20"/>
        </w:rPr>
        <w:t>TGW Logistics Group GmbH</w:t>
      </w:r>
    </w:p>
    <w:p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rsidR="000F039C" w:rsidRDefault="000F039C" w:rsidP="000F039C">
      <w:pPr>
        <w:spacing w:line="240" w:lineRule="auto"/>
        <w:ind w:right="1837"/>
        <w:rPr>
          <w:rFonts w:cs="Arial"/>
          <w:szCs w:val="20"/>
        </w:rPr>
      </w:pPr>
      <w:r>
        <w:rPr>
          <w:rFonts w:cs="Arial"/>
          <w:szCs w:val="20"/>
        </w:rPr>
        <w:t>T: +43.(0)50.486-0</w:t>
      </w:r>
    </w:p>
    <w:p w:rsidR="000F039C" w:rsidRDefault="000F039C" w:rsidP="000F039C">
      <w:pPr>
        <w:spacing w:line="240" w:lineRule="auto"/>
        <w:ind w:right="1837"/>
        <w:rPr>
          <w:rFonts w:cs="Arial"/>
          <w:szCs w:val="20"/>
        </w:rPr>
      </w:pPr>
      <w:r>
        <w:rPr>
          <w:rFonts w:cs="Arial"/>
          <w:szCs w:val="20"/>
        </w:rPr>
        <w:t>F: +43.(0)50.486-31</w:t>
      </w:r>
    </w:p>
    <w:p w:rsidR="000F039C" w:rsidRDefault="000F039C" w:rsidP="000F039C">
      <w:pPr>
        <w:spacing w:line="240" w:lineRule="auto"/>
        <w:ind w:right="1837"/>
        <w:rPr>
          <w:rFonts w:cs="Arial"/>
          <w:szCs w:val="20"/>
        </w:rPr>
      </w:pPr>
      <w:r>
        <w:rPr>
          <w:rFonts w:cs="Arial"/>
          <w:szCs w:val="20"/>
        </w:rPr>
        <w:t>Correo electrónico: tgw@tgw-group.com</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701"/>
        <w:rPr>
          <w:rFonts w:cs="Arial"/>
          <w:b/>
          <w:szCs w:val="20"/>
        </w:rPr>
      </w:pPr>
      <w:r>
        <w:rPr>
          <w:rFonts w:cs="Arial"/>
          <w:b/>
          <w:szCs w:val="20"/>
        </w:rPr>
        <w:t>Contacto de prensa:</w:t>
      </w:r>
    </w:p>
    <w:p w:rsidR="00496FFC" w:rsidRPr="004642BC" w:rsidRDefault="00496FFC" w:rsidP="000F039C">
      <w:pPr>
        <w:spacing w:line="240" w:lineRule="auto"/>
        <w:ind w:right="701"/>
        <w:rPr>
          <w:rFonts w:cs="Arial"/>
          <w:b/>
          <w:szCs w:val="20"/>
          <w:lang w:val="en-AU"/>
        </w:rPr>
      </w:pPr>
    </w:p>
    <w:p w:rsidR="00496FFC" w:rsidRDefault="00496FFC" w:rsidP="00496FFC">
      <w:pPr>
        <w:spacing w:line="240" w:lineRule="auto"/>
        <w:ind w:right="701"/>
        <w:rPr>
          <w:rFonts w:cs="Arial"/>
          <w:szCs w:val="20"/>
          <w:lang w:val="en-US"/>
        </w:rPr>
      </w:pPr>
      <w:r>
        <w:rPr>
          <w:rFonts w:cs="Arial"/>
          <w:szCs w:val="20"/>
        </w:rPr>
        <w:t>Alexander Tahedl</w:t>
      </w:r>
    </w:p>
    <w:p w:rsidR="00496FFC" w:rsidRDefault="00496FFC" w:rsidP="00496FFC">
      <w:pPr>
        <w:spacing w:line="240" w:lineRule="auto"/>
        <w:ind w:right="701"/>
        <w:rPr>
          <w:rFonts w:cs="Arial"/>
          <w:szCs w:val="20"/>
          <w:lang w:val="en-US"/>
        </w:rPr>
      </w:pPr>
      <w:r>
        <w:rPr>
          <w:rFonts w:cs="Arial"/>
          <w:szCs w:val="20"/>
        </w:rPr>
        <w:t>Communications Specialist</w:t>
      </w:r>
    </w:p>
    <w:p w:rsidR="00496FFC" w:rsidRPr="009A6B05" w:rsidRDefault="00496FFC" w:rsidP="00496FFC">
      <w:pPr>
        <w:spacing w:line="240" w:lineRule="auto"/>
        <w:ind w:right="701"/>
        <w:rPr>
          <w:rFonts w:cs="Arial"/>
          <w:szCs w:val="20"/>
          <w:lang w:val="en-US"/>
        </w:rPr>
      </w:pPr>
      <w:r>
        <w:rPr>
          <w:rFonts w:cs="Arial"/>
          <w:szCs w:val="20"/>
        </w:rPr>
        <w:t>T: +43.(0)50.486-2267</w:t>
      </w:r>
    </w:p>
    <w:p w:rsidR="00496FFC" w:rsidRDefault="00496FFC" w:rsidP="00496FFC">
      <w:pPr>
        <w:spacing w:line="240" w:lineRule="auto"/>
        <w:ind w:right="701"/>
        <w:rPr>
          <w:rFonts w:cs="Arial"/>
          <w:szCs w:val="20"/>
          <w:lang w:val="en-US"/>
        </w:rPr>
      </w:pPr>
      <w:r>
        <w:rPr>
          <w:rFonts w:cs="Arial"/>
          <w:szCs w:val="20"/>
        </w:rPr>
        <w:t>M: +43.(0)664.88459713</w:t>
      </w:r>
    </w:p>
    <w:p w:rsidR="00496FFC" w:rsidRPr="00E76A4D" w:rsidRDefault="00496FFC" w:rsidP="00496FFC">
      <w:pPr>
        <w:spacing w:line="240" w:lineRule="auto"/>
        <w:ind w:right="701"/>
        <w:rPr>
          <w:lang w:val="en-AU"/>
        </w:rPr>
      </w:pPr>
      <w:r>
        <w:rPr>
          <w:rFonts w:cs="Arial"/>
          <w:szCs w:val="20"/>
        </w:rPr>
        <w:t>alexander.tahedl@tgw-group.com</w:t>
      </w:r>
    </w:p>
    <w:p w:rsidR="00496FFC" w:rsidRPr="00E76A4D" w:rsidRDefault="00496FFC" w:rsidP="000F039C">
      <w:pPr>
        <w:spacing w:line="240" w:lineRule="auto"/>
        <w:ind w:right="701"/>
        <w:rPr>
          <w:rFonts w:cs="Arial"/>
          <w:b/>
          <w:szCs w:val="20"/>
          <w:lang w:val="en-AU"/>
        </w:rPr>
      </w:pPr>
    </w:p>
    <w:p w:rsidR="00496FFC" w:rsidRPr="00E76A4D" w:rsidRDefault="00496FFC" w:rsidP="000F039C">
      <w:pPr>
        <w:spacing w:line="240" w:lineRule="auto"/>
        <w:ind w:right="701"/>
        <w:rPr>
          <w:rFonts w:cs="Arial"/>
          <w:b/>
          <w:szCs w:val="20"/>
          <w:lang w:val="en-AU"/>
        </w:rPr>
      </w:pPr>
    </w:p>
    <w:p w:rsidR="000F039C" w:rsidRPr="00E76A4D" w:rsidRDefault="000F039C" w:rsidP="000F039C">
      <w:pPr>
        <w:spacing w:line="240" w:lineRule="auto"/>
        <w:ind w:right="701"/>
        <w:rPr>
          <w:rFonts w:cs="Arial"/>
          <w:szCs w:val="20"/>
          <w:lang w:val="en-AU"/>
        </w:rPr>
      </w:pPr>
      <w:r>
        <w:rPr>
          <w:rFonts w:cs="Arial"/>
          <w:szCs w:val="20"/>
        </w:rPr>
        <w:t>Martin Kirchmayr</w:t>
      </w:r>
    </w:p>
    <w:p w:rsidR="000F039C" w:rsidRDefault="000F039C" w:rsidP="000F039C">
      <w:pPr>
        <w:spacing w:line="240" w:lineRule="auto"/>
        <w:ind w:right="701"/>
        <w:rPr>
          <w:rFonts w:cs="Arial"/>
          <w:szCs w:val="20"/>
          <w:lang w:val="en-US"/>
        </w:rPr>
      </w:pPr>
      <w:r>
        <w:rPr>
          <w:rFonts w:cs="Arial"/>
          <w:szCs w:val="20"/>
        </w:rPr>
        <w:t>Director Marketing &amp; Communications</w:t>
      </w:r>
    </w:p>
    <w:p w:rsidR="000F039C" w:rsidRDefault="000F039C" w:rsidP="000F039C">
      <w:pPr>
        <w:spacing w:line="240" w:lineRule="auto"/>
        <w:ind w:right="701"/>
        <w:rPr>
          <w:rFonts w:cs="Arial"/>
          <w:szCs w:val="20"/>
          <w:lang w:val="en-US"/>
        </w:rPr>
      </w:pPr>
      <w:r>
        <w:rPr>
          <w:rFonts w:cs="Arial"/>
          <w:szCs w:val="20"/>
        </w:rPr>
        <w:t>T: +43.(0)50.486-1382</w:t>
      </w:r>
    </w:p>
    <w:p w:rsidR="000F039C" w:rsidRDefault="00085DE5" w:rsidP="000F039C">
      <w:pPr>
        <w:tabs>
          <w:tab w:val="left" w:pos="3432"/>
        </w:tabs>
        <w:spacing w:line="240" w:lineRule="auto"/>
        <w:ind w:right="701"/>
        <w:rPr>
          <w:rFonts w:cs="Arial"/>
          <w:szCs w:val="20"/>
          <w:lang w:val="en-US"/>
        </w:rPr>
      </w:pPr>
      <w:r>
        <w:rPr>
          <w:rFonts w:cs="Arial"/>
          <w:szCs w:val="20"/>
        </w:rPr>
        <w:t>M: +43.(0)664.8187423</w:t>
      </w:r>
    </w:p>
    <w:p w:rsidR="00496FFC" w:rsidRPr="007737E4" w:rsidRDefault="00085DE5">
      <w:pPr>
        <w:spacing w:line="240" w:lineRule="auto"/>
        <w:ind w:right="701"/>
        <w:rPr>
          <w:rFonts w:cs="Arial"/>
          <w:szCs w:val="20"/>
          <w:lang w:val="en-US"/>
        </w:rPr>
      </w:pPr>
      <w:r>
        <w:rPr>
          <w:rFonts w:cs="Arial"/>
          <w:szCs w:val="20"/>
        </w:rPr>
        <w:t>martin.kirchmayr@tgw-group.com</w:t>
      </w:r>
    </w:p>
    <w:p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F38" w:rsidRDefault="002A1F38" w:rsidP="00764006">
      <w:pPr>
        <w:spacing w:line="240" w:lineRule="auto"/>
      </w:pPr>
      <w:r>
        <w:separator/>
      </w:r>
    </w:p>
  </w:endnote>
  <w:endnote w:type="continuationSeparator" w:id="0">
    <w:p w:rsidR="002A1F38" w:rsidRDefault="002A1F3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977E70">
            <w:rPr>
              <w:noProof/>
              <w:sz w:val="16"/>
            </w:rPr>
            <w:t>4</w:t>
          </w:r>
          <w:r>
            <w:fldChar w:fldCharType="end"/>
          </w:r>
          <w:r>
            <w:rPr>
              <w:sz w:val="16"/>
            </w:rPr>
            <w:t xml:space="preserve"> / 4</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F38" w:rsidRDefault="002A1F38" w:rsidP="00764006">
      <w:pPr>
        <w:spacing w:line="240" w:lineRule="auto"/>
      </w:pPr>
      <w:r>
        <w:separator/>
      </w:r>
    </w:p>
  </w:footnote>
  <w:footnote w:type="continuationSeparator" w:id="0">
    <w:p w:rsidR="002A1F38" w:rsidRDefault="002A1F3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18402C8E" wp14:editId="70F9FD5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D821CE2"/>
    <w:multiLevelType w:val="hybridMultilevel"/>
    <w:tmpl w:val="38D0D4B8"/>
    <w:lvl w:ilvl="0" w:tplc="1B084032">
      <w:start w:val="85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2"/>
  </w:num>
  <w:num w:numId="5">
    <w:abstractNumId w:val="11"/>
  </w:num>
  <w:num w:numId="6">
    <w:abstractNumId w:val="3"/>
  </w:num>
  <w:num w:numId="7">
    <w:abstractNumId w:val="13"/>
  </w:num>
  <w:num w:numId="8">
    <w:abstractNumId w:val="10"/>
  </w:num>
  <w:num w:numId="9">
    <w:abstractNumId w:val="19"/>
  </w:num>
  <w:num w:numId="10">
    <w:abstractNumId w:val="1"/>
  </w:num>
  <w:num w:numId="11">
    <w:abstractNumId w:val="6"/>
  </w:num>
  <w:num w:numId="12">
    <w:abstractNumId w:val="15"/>
  </w:num>
  <w:num w:numId="13">
    <w:abstractNumId w:val="17"/>
  </w:num>
  <w:num w:numId="14">
    <w:abstractNumId w:val="21"/>
  </w:num>
  <w:num w:numId="15">
    <w:abstractNumId w:val="23"/>
  </w:num>
  <w:num w:numId="16">
    <w:abstractNumId w:val="4"/>
  </w:num>
  <w:num w:numId="17">
    <w:abstractNumId w:val="20"/>
  </w:num>
  <w:num w:numId="18">
    <w:abstractNumId w:val="5"/>
  </w:num>
  <w:num w:numId="19">
    <w:abstractNumId w:val="7"/>
  </w:num>
  <w:num w:numId="20">
    <w:abstractNumId w:val="9"/>
  </w:num>
  <w:num w:numId="21">
    <w:abstractNumId w:val="0"/>
  </w:num>
  <w:num w:numId="22">
    <w:abstractNumId w:val="8"/>
  </w:num>
  <w:num w:numId="23">
    <w:abstractNumId w:val="18"/>
  </w:num>
  <w:num w:numId="24">
    <w:abstractNumId w:val="18"/>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8A2"/>
    <w:rsid w:val="0000394C"/>
    <w:rsid w:val="000048BC"/>
    <w:rsid w:val="000048E9"/>
    <w:rsid w:val="00004D39"/>
    <w:rsid w:val="00004F6A"/>
    <w:rsid w:val="000067D6"/>
    <w:rsid w:val="00007176"/>
    <w:rsid w:val="00007CF1"/>
    <w:rsid w:val="0001381D"/>
    <w:rsid w:val="00013BF0"/>
    <w:rsid w:val="00014C20"/>
    <w:rsid w:val="00014D5D"/>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3AD1"/>
    <w:rsid w:val="0003447B"/>
    <w:rsid w:val="00034ADC"/>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0655"/>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40E1"/>
    <w:rsid w:val="00080246"/>
    <w:rsid w:val="00081FA6"/>
    <w:rsid w:val="0008298D"/>
    <w:rsid w:val="00082FB9"/>
    <w:rsid w:val="0008328C"/>
    <w:rsid w:val="000838C9"/>
    <w:rsid w:val="00084DC2"/>
    <w:rsid w:val="00085DE5"/>
    <w:rsid w:val="00087586"/>
    <w:rsid w:val="000876EB"/>
    <w:rsid w:val="000901FB"/>
    <w:rsid w:val="000906C3"/>
    <w:rsid w:val="000908C6"/>
    <w:rsid w:val="00090C63"/>
    <w:rsid w:val="00090D40"/>
    <w:rsid w:val="00092163"/>
    <w:rsid w:val="00092A28"/>
    <w:rsid w:val="00093075"/>
    <w:rsid w:val="00093858"/>
    <w:rsid w:val="00094055"/>
    <w:rsid w:val="0009479C"/>
    <w:rsid w:val="00094DFA"/>
    <w:rsid w:val="00095CBA"/>
    <w:rsid w:val="000973B3"/>
    <w:rsid w:val="00097487"/>
    <w:rsid w:val="00097DE7"/>
    <w:rsid w:val="000A0FE1"/>
    <w:rsid w:val="000A1294"/>
    <w:rsid w:val="000A2827"/>
    <w:rsid w:val="000A3032"/>
    <w:rsid w:val="000A37FC"/>
    <w:rsid w:val="000A3C02"/>
    <w:rsid w:val="000A490F"/>
    <w:rsid w:val="000A4931"/>
    <w:rsid w:val="000A51B5"/>
    <w:rsid w:val="000A5860"/>
    <w:rsid w:val="000A67DD"/>
    <w:rsid w:val="000A6DCC"/>
    <w:rsid w:val="000A7074"/>
    <w:rsid w:val="000A721F"/>
    <w:rsid w:val="000A7433"/>
    <w:rsid w:val="000B3A42"/>
    <w:rsid w:val="000B3BB3"/>
    <w:rsid w:val="000B58AB"/>
    <w:rsid w:val="000B6520"/>
    <w:rsid w:val="000B6706"/>
    <w:rsid w:val="000B6892"/>
    <w:rsid w:val="000B697D"/>
    <w:rsid w:val="000B6D90"/>
    <w:rsid w:val="000B72D6"/>
    <w:rsid w:val="000B7F5B"/>
    <w:rsid w:val="000C043F"/>
    <w:rsid w:val="000C260C"/>
    <w:rsid w:val="000C48AB"/>
    <w:rsid w:val="000C6AAD"/>
    <w:rsid w:val="000D04E9"/>
    <w:rsid w:val="000D055C"/>
    <w:rsid w:val="000D0B64"/>
    <w:rsid w:val="000D0FFE"/>
    <w:rsid w:val="000D24AD"/>
    <w:rsid w:val="000D3D7D"/>
    <w:rsid w:val="000D445F"/>
    <w:rsid w:val="000D5038"/>
    <w:rsid w:val="000D5631"/>
    <w:rsid w:val="000D570F"/>
    <w:rsid w:val="000D5CF0"/>
    <w:rsid w:val="000D7892"/>
    <w:rsid w:val="000D79F0"/>
    <w:rsid w:val="000E1710"/>
    <w:rsid w:val="000E1E91"/>
    <w:rsid w:val="000E2B57"/>
    <w:rsid w:val="000E5B4A"/>
    <w:rsid w:val="000E6579"/>
    <w:rsid w:val="000E721B"/>
    <w:rsid w:val="000E742E"/>
    <w:rsid w:val="000E779D"/>
    <w:rsid w:val="000F039C"/>
    <w:rsid w:val="000F2136"/>
    <w:rsid w:val="000F296E"/>
    <w:rsid w:val="000F5020"/>
    <w:rsid w:val="000F6568"/>
    <w:rsid w:val="000F6786"/>
    <w:rsid w:val="000F748A"/>
    <w:rsid w:val="000F7D85"/>
    <w:rsid w:val="00100CDF"/>
    <w:rsid w:val="00100FED"/>
    <w:rsid w:val="00102B91"/>
    <w:rsid w:val="00102B94"/>
    <w:rsid w:val="00102C0C"/>
    <w:rsid w:val="00102F3E"/>
    <w:rsid w:val="00106124"/>
    <w:rsid w:val="00106470"/>
    <w:rsid w:val="001109BF"/>
    <w:rsid w:val="00110A0B"/>
    <w:rsid w:val="00113562"/>
    <w:rsid w:val="00114C33"/>
    <w:rsid w:val="00117307"/>
    <w:rsid w:val="00117D1D"/>
    <w:rsid w:val="00120347"/>
    <w:rsid w:val="00122BB2"/>
    <w:rsid w:val="001252B2"/>
    <w:rsid w:val="00125A5B"/>
    <w:rsid w:val="00127A8C"/>
    <w:rsid w:val="0013094C"/>
    <w:rsid w:val="00132861"/>
    <w:rsid w:val="001336A2"/>
    <w:rsid w:val="001354C6"/>
    <w:rsid w:val="00136EEB"/>
    <w:rsid w:val="00140886"/>
    <w:rsid w:val="00140AAD"/>
    <w:rsid w:val="001411C5"/>
    <w:rsid w:val="00141B16"/>
    <w:rsid w:val="00141B5D"/>
    <w:rsid w:val="00141C5F"/>
    <w:rsid w:val="00141F13"/>
    <w:rsid w:val="00142118"/>
    <w:rsid w:val="00142D57"/>
    <w:rsid w:val="001436B8"/>
    <w:rsid w:val="00143849"/>
    <w:rsid w:val="00143EB1"/>
    <w:rsid w:val="00145EB3"/>
    <w:rsid w:val="00150056"/>
    <w:rsid w:val="00151856"/>
    <w:rsid w:val="00151881"/>
    <w:rsid w:val="001522B5"/>
    <w:rsid w:val="001522FC"/>
    <w:rsid w:val="001529FF"/>
    <w:rsid w:val="00152B5E"/>
    <w:rsid w:val="00152DD7"/>
    <w:rsid w:val="00153150"/>
    <w:rsid w:val="00153224"/>
    <w:rsid w:val="001532A0"/>
    <w:rsid w:val="00156203"/>
    <w:rsid w:val="0015708E"/>
    <w:rsid w:val="00157348"/>
    <w:rsid w:val="00157FD2"/>
    <w:rsid w:val="001606D4"/>
    <w:rsid w:val="00161058"/>
    <w:rsid w:val="00161F24"/>
    <w:rsid w:val="001623D6"/>
    <w:rsid w:val="00162A7B"/>
    <w:rsid w:val="00164A89"/>
    <w:rsid w:val="00166ED9"/>
    <w:rsid w:val="0017018E"/>
    <w:rsid w:val="00170544"/>
    <w:rsid w:val="00170E83"/>
    <w:rsid w:val="00171C86"/>
    <w:rsid w:val="00172BC3"/>
    <w:rsid w:val="00172F83"/>
    <w:rsid w:val="00172FF1"/>
    <w:rsid w:val="00174445"/>
    <w:rsid w:val="00174858"/>
    <w:rsid w:val="00174FA7"/>
    <w:rsid w:val="00175BED"/>
    <w:rsid w:val="00177186"/>
    <w:rsid w:val="00177950"/>
    <w:rsid w:val="00177E66"/>
    <w:rsid w:val="001825C5"/>
    <w:rsid w:val="00182632"/>
    <w:rsid w:val="00183096"/>
    <w:rsid w:val="00183B79"/>
    <w:rsid w:val="001845C3"/>
    <w:rsid w:val="001846A6"/>
    <w:rsid w:val="0018497E"/>
    <w:rsid w:val="001853CF"/>
    <w:rsid w:val="001856BA"/>
    <w:rsid w:val="00185E8C"/>
    <w:rsid w:val="001864B4"/>
    <w:rsid w:val="001876B4"/>
    <w:rsid w:val="00187867"/>
    <w:rsid w:val="001915D8"/>
    <w:rsid w:val="00193A75"/>
    <w:rsid w:val="00193DF6"/>
    <w:rsid w:val="00195B5A"/>
    <w:rsid w:val="00195D23"/>
    <w:rsid w:val="00196119"/>
    <w:rsid w:val="0019765F"/>
    <w:rsid w:val="001A0355"/>
    <w:rsid w:val="001A0755"/>
    <w:rsid w:val="001A08BF"/>
    <w:rsid w:val="001A143C"/>
    <w:rsid w:val="001A2A7D"/>
    <w:rsid w:val="001A36B2"/>
    <w:rsid w:val="001A3CC9"/>
    <w:rsid w:val="001A4177"/>
    <w:rsid w:val="001A5449"/>
    <w:rsid w:val="001A639D"/>
    <w:rsid w:val="001A719B"/>
    <w:rsid w:val="001B0377"/>
    <w:rsid w:val="001B1C61"/>
    <w:rsid w:val="001B2714"/>
    <w:rsid w:val="001B32D8"/>
    <w:rsid w:val="001B331B"/>
    <w:rsid w:val="001B3B4C"/>
    <w:rsid w:val="001B47BC"/>
    <w:rsid w:val="001B5466"/>
    <w:rsid w:val="001B6421"/>
    <w:rsid w:val="001B7711"/>
    <w:rsid w:val="001B7B16"/>
    <w:rsid w:val="001C0661"/>
    <w:rsid w:val="001C1504"/>
    <w:rsid w:val="001C1F1C"/>
    <w:rsid w:val="001C203E"/>
    <w:rsid w:val="001C33E5"/>
    <w:rsid w:val="001C4484"/>
    <w:rsid w:val="001C5EC6"/>
    <w:rsid w:val="001C6FC4"/>
    <w:rsid w:val="001C75F5"/>
    <w:rsid w:val="001C7C14"/>
    <w:rsid w:val="001D1972"/>
    <w:rsid w:val="001D1A27"/>
    <w:rsid w:val="001D22C8"/>
    <w:rsid w:val="001D2879"/>
    <w:rsid w:val="001D2A06"/>
    <w:rsid w:val="001D38DF"/>
    <w:rsid w:val="001D3A32"/>
    <w:rsid w:val="001D3B2A"/>
    <w:rsid w:val="001D3BE6"/>
    <w:rsid w:val="001D3C10"/>
    <w:rsid w:val="001D6C93"/>
    <w:rsid w:val="001D6FB0"/>
    <w:rsid w:val="001E064D"/>
    <w:rsid w:val="001E0BC7"/>
    <w:rsid w:val="001E12D3"/>
    <w:rsid w:val="001E2DC7"/>
    <w:rsid w:val="001E3060"/>
    <w:rsid w:val="001E3416"/>
    <w:rsid w:val="001E4E67"/>
    <w:rsid w:val="001E6138"/>
    <w:rsid w:val="001E6A44"/>
    <w:rsid w:val="001E7058"/>
    <w:rsid w:val="001E78A9"/>
    <w:rsid w:val="001E7FD7"/>
    <w:rsid w:val="001F2C8B"/>
    <w:rsid w:val="001F2DB7"/>
    <w:rsid w:val="001F2DEF"/>
    <w:rsid w:val="001F37F7"/>
    <w:rsid w:val="001F3EA4"/>
    <w:rsid w:val="001F48FC"/>
    <w:rsid w:val="001F4D0C"/>
    <w:rsid w:val="001F4EB1"/>
    <w:rsid w:val="001F5E6D"/>
    <w:rsid w:val="001F704F"/>
    <w:rsid w:val="001F797C"/>
    <w:rsid w:val="002012DB"/>
    <w:rsid w:val="00202FDD"/>
    <w:rsid w:val="0020360B"/>
    <w:rsid w:val="002039AC"/>
    <w:rsid w:val="002043C0"/>
    <w:rsid w:val="00205044"/>
    <w:rsid w:val="00205177"/>
    <w:rsid w:val="00205B69"/>
    <w:rsid w:val="002070D2"/>
    <w:rsid w:val="0020750E"/>
    <w:rsid w:val="00210490"/>
    <w:rsid w:val="00210A64"/>
    <w:rsid w:val="00213187"/>
    <w:rsid w:val="002140EF"/>
    <w:rsid w:val="00214B64"/>
    <w:rsid w:val="00214E93"/>
    <w:rsid w:val="00216276"/>
    <w:rsid w:val="0021629F"/>
    <w:rsid w:val="002170BE"/>
    <w:rsid w:val="002178D9"/>
    <w:rsid w:val="00220F1F"/>
    <w:rsid w:val="00221837"/>
    <w:rsid w:val="00222B47"/>
    <w:rsid w:val="00227C5F"/>
    <w:rsid w:val="00227EC1"/>
    <w:rsid w:val="0023021C"/>
    <w:rsid w:val="00230C81"/>
    <w:rsid w:val="002316D5"/>
    <w:rsid w:val="00231C7F"/>
    <w:rsid w:val="00232132"/>
    <w:rsid w:val="0023298C"/>
    <w:rsid w:val="00232D10"/>
    <w:rsid w:val="002335CF"/>
    <w:rsid w:val="0023445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D7"/>
    <w:rsid w:val="00253096"/>
    <w:rsid w:val="002536EF"/>
    <w:rsid w:val="002546DD"/>
    <w:rsid w:val="002549A4"/>
    <w:rsid w:val="00255570"/>
    <w:rsid w:val="002604C6"/>
    <w:rsid w:val="002604E6"/>
    <w:rsid w:val="00261DBE"/>
    <w:rsid w:val="00262DB4"/>
    <w:rsid w:val="00263BEF"/>
    <w:rsid w:val="0026487A"/>
    <w:rsid w:val="0026509A"/>
    <w:rsid w:val="002654A8"/>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1097"/>
    <w:rsid w:val="002823C9"/>
    <w:rsid w:val="00284696"/>
    <w:rsid w:val="00284839"/>
    <w:rsid w:val="00284C95"/>
    <w:rsid w:val="00284F4A"/>
    <w:rsid w:val="00285F41"/>
    <w:rsid w:val="002860DB"/>
    <w:rsid w:val="002862E7"/>
    <w:rsid w:val="002875FB"/>
    <w:rsid w:val="002878EA"/>
    <w:rsid w:val="00287E22"/>
    <w:rsid w:val="00290A14"/>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1F38"/>
    <w:rsid w:val="002A24A9"/>
    <w:rsid w:val="002A24DB"/>
    <w:rsid w:val="002A41CC"/>
    <w:rsid w:val="002A47F3"/>
    <w:rsid w:val="002A50BC"/>
    <w:rsid w:val="002A540B"/>
    <w:rsid w:val="002A5A42"/>
    <w:rsid w:val="002A62CC"/>
    <w:rsid w:val="002A6820"/>
    <w:rsid w:val="002A6CF7"/>
    <w:rsid w:val="002A6D6B"/>
    <w:rsid w:val="002B0533"/>
    <w:rsid w:val="002B11C5"/>
    <w:rsid w:val="002B13F8"/>
    <w:rsid w:val="002B27F9"/>
    <w:rsid w:val="002B3503"/>
    <w:rsid w:val="002B36BF"/>
    <w:rsid w:val="002B4568"/>
    <w:rsid w:val="002B4848"/>
    <w:rsid w:val="002B52CA"/>
    <w:rsid w:val="002B56A8"/>
    <w:rsid w:val="002B5E97"/>
    <w:rsid w:val="002B659B"/>
    <w:rsid w:val="002B6964"/>
    <w:rsid w:val="002B6B85"/>
    <w:rsid w:val="002B7358"/>
    <w:rsid w:val="002C40FD"/>
    <w:rsid w:val="002C4808"/>
    <w:rsid w:val="002C49C4"/>
    <w:rsid w:val="002C501B"/>
    <w:rsid w:val="002C5187"/>
    <w:rsid w:val="002C5AFD"/>
    <w:rsid w:val="002C5D6C"/>
    <w:rsid w:val="002C624B"/>
    <w:rsid w:val="002C7175"/>
    <w:rsid w:val="002C7C65"/>
    <w:rsid w:val="002C7FAF"/>
    <w:rsid w:val="002D1802"/>
    <w:rsid w:val="002D1ED8"/>
    <w:rsid w:val="002D1F41"/>
    <w:rsid w:val="002D30FC"/>
    <w:rsid w:val="002D3F73"/>
    <w:rsid w:val="002D4595"/>
    <w:rsid w:val="002D48DC"/>
    <w:rsid w:val="002D5963"/>
    <w:rsid w:val="002D5CA1"/>
    <w:rsid w:val="002D63EE"/>
    <w:rsid w:val="002D64D5"/>
    <w:rsid w:val="002D6A5C"/>
    <w:rsid w:val="002D72E5"/>
    <w:rsid w:val="002E11B2"/>
    <w:rsid w:val="002E1F59"/>
    <w:rsid w:val="002E312E"/>
    <w:rsid w:val="002E3C38"/>
    <w:rsid w:val="002E4E51"/>
    <w:rsid w:val="002E59F5"/>
    <w:rsid w:val="002E5FC4"/>
    <w:rsid w:val="002E71B6"/>
    <w:rsid w:val="002F059B"/>
    <w:rsid w:val="002F0A80"/>
    <w:rsid w:val="002F0C67"/>
    <w:rsid w:val="002F390A"/>
    <w:rsid w:val="002F3C41"/>
    <w:rsid w:val="002F4C86"/>
    <w:rsid w:val="002F4FEE"/>
    <w:rsid w:val="002F748C"/>
    <w:rsid w:val="002F7C97"/>
    <w:rsid w:val="00300D12"/>
    <w:rsid w:val="003014F9"/>
    <w:rsid w:val="0030159E"/>
    <w:rsid w:val="0030648D"/>
    <w:rsid w:val="00307AE6"/>
    <w:rsid w:val="00310750"/>
    <w:rsid w:val="003114D5"/>
    <w:rsid w:val="003122E3"/>
    <w:rsid w:val="0031373B"/>
    <w:rsid w:val="00314C9B"/>
    <w:rsid w:val="00314FF1"/>
    <w:rsid w:val="003168AE"/>
    <w:rsid w:val="00316CC3"/>
    <w:rsid w:val="00316CD2"/>
    <w:rsid w:val="00317A97"/>
    <w:rsid w:val="00317FAF"/>
    <w:rsid w:val="003203F3"/>
    <w:rsid w:val="00320BD4"/>
    <w:rsid w:val="00321DDA"/>
    <w:rsid w:val="0032405B"/>
    <w:rsid w:val="00324AF6"/>
    <w:rsid w:val="00325194"/>
    <w:rsid w:val="003260FC"/>
    <w:rsid w:val="00327D43"/>
    <w:rsid w:val="00330273"/>
    <w:rsid w:val="00331CE5"/>
    <w:rsid w:val="00331DF2"/>
    <w:rsid w:val="0033228A"/>
    <w:rsid w:val="003324FD"/>
    <w:rsid w:val="00332A95"/>
    <w:rsid w:val="00332DAA"/>
    <w:rsid w:val="003336F3"/>
    <w:rsid w:val="00334223"/>
    <w:rsid w:val="00334F88"/>
    <w:rsid w:val="00335814"/>
    <w:rsid w:val="0033586A"/>
    <w:rsid w:val="00336419"/>
    <w:rsid w:val="00337F4B"/>
    <w:rsid w:val="003400CF"/>
    <w:rsid w:val="00340150"/>
    <w:rsid w:val="0034111E"/>
    <w:rsid w:val="00341452"/>
    <w:rsid w:val="0034179A"/>
    <w:rsid w:val="003418AE"/>
    <w:rsid w:val="00341ED1"/>
    <w:rsid w:val="00342219"/>
    <w:rsid w:val="003423C6"/>
    <w:rsid w:val="003424FB"/>
    <w:rsid w:val="00343117"/>
    <w:rsid w:val="003435C4"/>
    <w:rsid w:val="003439CE"/>
    <w:rsid w:val="00343E7A"/>
    <w:rsid w:val="003451F3"/>
    <w:rsid w:val="00346126"/>
    <w:rsid w:val="003465D3"/>
    <w:rsid w:val="0034681F"/>
    <w:rsid w:val="00346CF9"/>
    <w:rsid w:val="003471A2"/>
    <w:rsid w:val="00347892"/>
    <w:rsid w:val="00350A9E"/>
    <w:rsid w:val="00353F9E"/>
    <w:rsid w:val="003540AE"/>
    <w:rsid w:val="00355190"/>
    <w:rsid w:val="00356C67"/>
    <w:rsid w:val="003572A1"/>
    <w:rsid w:val="00361063"/>
    <w:rsid w:val="00361341"/>
    <w:rsid w:val="00361B30"/>
    <w:rsid w:val="003637B7"/>
    <w:rsid w:val="00363E6F"/>
    <w:rsid w:val="00363FC4"/>
    <w:rsid w:val="003642F9"/>
    <w:rsid w:val="003645BE"/>
    <w:rsid w:val="00365AA0"/>
    <w:rsid w:val="00370662"/>
    <w:rsid w:val="0037274A"/>
    <w:rsid w:val="00372D81"/>
    <w:rsid w:val="00373A5C"/>
    <w:rsid w:val="00374096"/>
    <w:rsid w:val="00374913"/>
    <w:rsid w:val="00374BBD"/>
    <w:rsid w:val="0037522E"/>
    <w:rsid w:val="003756FD"/>
    <w:rsid w:val="00375AF2"/>
    <w:rsid w:val="003765DE"/>
    <w:rsid w:val="003803D4"/>
    <w:rsid w:val="0038192A"/>
    <w:rsid w:val="003820A5"/>
    <w:rsid w:val="003829C7"/>
    <w:rsid w:val="00382D6B"/>
    <w:rsid w:val="003840BC"/>
    <w:rsid w:val="00384C8F"/>
    <w:rsid w:val="00387427"/>
    <w:rsid w:val="003877BB"/>
    <w:rsid w:val="00390088"/>
    <w:rsid w:val="00391085"/>
    <w:rsid w:val="00391144"/>
    <w:rsid w:val="003911A2"/>
    <w:rsid w:val="0039232F"/>
    <w:rsid w:val="00392F49"/>
    <w:rsid w:val="00393F32"/>
    <w:rsid w:val="00394110"/>
    <w:rsid w:val="00395A38"/>
    <w:rsid w:val="003A0407"/>
    <w:rsid w:val="003A0544"/>
    <w:rsid w:val="003A1816"/>
    <w:rsid w:val="003A2448"/>
    <w:rsid w:val="003A28BB"/>
    <w:rsid w:val="003A2AEC"/>
    <w:rsid w:val="003A6EC7"/>
    <w:rsid w:val="003A717A"/>
    <w:rsid w:val="003B0F36"/>
    <w:rsid w:val="003B6191"/>
    <w:rsid w:val="003B6403"/>
    <w:rsid w:val="003B67C9"/>
    <w:rsid w:val="003B7A21"/>
    <w:rsid w:val="003C0E18"/>
    <w:rsid w:val="003C168D"/>
    <w:rsid w:val="003C278A"/>
    <w:rsid w:val="003C4475"/>
    <w:rsid w:val="003C4535"/>
    <w:rsid w:val="003C55E8"/>
    <w:rsid w:val="003C5CB6"/>
    <w:rsid w:val="003C5E09"/>
    <w:rsid w:val="003C68E1"/>
    <w:rsid w:val="003C6AC1"/>
    <w:rsid w:val="003C708C"/>
    <w:rsid w:val="003C73B0"/>
    <w:rsid w:val="003C74E7"/>
    <w:rsid w:val="003D0C0E"/>
    <w:rsid w:val="003D1457"/>
    <w:rsid w:val="003D188F"/>
    <w:rsid w:val="003D311D"/>
    <w:rsid w:val="003D367F"/>
    <w:rsid w:val="003D3E79"/>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2C3D"/>
    <w:rsid w:val="003F3360"/>
    <w:rsid w:val="003F5E19"/>
    <w:rsid w:val="003F6519"/>
    <w:rsid w:val="003F68C7"/>
    <w:rsid w:val="003F6E7A"/>
    <w:rsid w:val="0040081B"/>
    <w:rsid w:val="00401195"/>
    <w:rsid w:val="0040175E"/>
    <w:rsid w:val="00401F9F"/>
    <w:rsid w:val="00403ABC"/>
    <w:rsid w:val="00404BB0"/>
    <w:rsid w:val="00404C6F"/>
    <w:rsid w:val="00404F8A"/>
    <w:rsid w:val="004052D6"/>
    <w:rsid w:val="00405383"/>
    <w:rsid w:val="004057A5"/>
    <w:rsid w:val="00410B68"/>
    <w:rsid w:val="00413505"/>
    <w:rsid w:val="004150B4"/>
    <w:rsid w:val="00415BE0"/>
    <w:rsid w:val="0041692F"/>
    <w:rsid w:val="004173D2"/>
    <w:rsid w:val="00417A01"/>
    <w:rsid w:val="00420460"/>
    <w:rsid w:val="00421702"/>
    <w:rsid w:val="00421B3C"/>
    <w:rsid w:val="00422A59"/>
    <w:rsid w:val="004239C9"/>
    <w:rsid w:val="00423CB3"/>
    <w:rsid w:val="00424748"/>
    <w:rsid w:val="00424B45"/>
    <w:rsid w:val="00424DBF"/>
    <w:rsid w:val="00425957"/>
    <w:rsid w:val="004265A1"/>
    <w:rsid w:val="00430BE8"/>
    <w:rsid w:val="004315E4"/>
    <w:rsid w:val="00431C20"/>
    <w:rsid w:val="00431D3A"/>
    <w:rsid w:val="00431E13"/>
    <w:rsid w:val="0043201E"/>
    <w:rsid w:val="0043240B"/>
    <w:rsid w:val="004326BE"/>
    <w:rsid w:val="00434234"/>
    <w:rsid w:val="00434865"/>
    <w:rsid w:val="00435999"/>
    <w:rsid w:val="00435B98"/>
    <w:rsid w:val="00436E0D"/>
    <w:rsid w:val="00436F24"/>
    <w:rsid w:val="00441043"/>
    <w:rsid w:val="0044195E"/>
    <w:rsid w:val="0044232B"/>
    <w:rsid w:val="00443F10"/>
    <w:rsid w:val="0044421B"/>
    <w:rsid w:val="00444A4A"/>
    <w:rsid w:val="00444BA0"/>
    <w:rsid w:val="004463DD"/>
    <w:rsid w:val="00446487"/>
    <w:rsid w:val="004472A0"/>
    <w:rsid w:val="00447722"/>
    <w:rsid w:val="00447A66"/>
    <w:rsid w:val="00450B34"/>
    <w:rsid w:val="00450F6F"/>
    <w:rsid w:val="004512F8"/>
    <w:rsid w:val="00452E7C"/>
    <w:rsid w:val="00452F19"/>
    <w:rsid w:val="00454EE9"/>
    <w:rsid w:val="004551A0"/>
    <w:rsid w:val="00455C3D"/>
    <w:rsid w:val="00455D0F"/>
    <w:rsid w:val="00457193"/>
    <w:rsid w:val="00460E31"/>
    <w:rsid w:val="00463578"/>
    <w:rsid w:val="004642BC"/>
    <w:rsid w:val="004646A3"/>
    <w:rsid w:val="00465E2E"/>
    <w:rsid w:val="00467299"/>
    <w:rsid w:val="00467661"/>
    <w:rsid w:val="004677AF"/>
    <w:rsid w:val="00467BB2"/>
    <w:rsid w:val="00470712"/>
    <w:rsid w:val="00470B0F"/>
    <w:rsid w:val="00472E03"/>
    <w:rsid w:val="00475797"/>
    <w:rsid w:val="0047686F"/>
    <w:rsid w:val="00480054"/>
    <w:rsid w:val="004811AB"/>
    <w:rsid w:val="004818EE"/>
    <w:rsid w:val="004825B7"/>
    <w:rsid w:val="00482F88"/>
    <w:rsid w:val="00483348"/>
    <w:rsid w:val="004835A9"/>
    <w:rsid w:val="00484E73"/>
    <w:rsid w:val="00485326"/>
    <w:rsid w:val="00485975"/>
    <w:rsid w:val="00485D3E"/>
    <w:rsid w:val="00487647"/>
    <w:rsid w:val="00491213"/>
    <w:rsid w:val="00492AA5"/>
    <w:rsid w:val="00494615"/>
    <w:rsid w:val="00494CBC"/>
    <w:rsid w:val="00494F3A"/>
    <w:rsid w:val="00496FFC"/>
    <w:rsid w:val="004A36E5"/>
    <w:rsid w:val="004A4623"/>
    <w:rsid w:val="004A48A6"/>
    <w:rsid w:val="004A4B02"/>
    <w:rsid w:val="004A5DE3"/>
    <w:rsid w:val="004A6B41"/>
    <w:rsid w:val="004A78EA"/>
    <w:rsid w:val="004B0C1A"/>
    <w:rsid w:val="004B17D6"/>
    <w:rsid w:val="004B2028"/>
    <w:rsid w:val="004B2FAF"/>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2DBA"/>
    <w:rsid w:val="004D52DA"/>
    <w:rsid w:val="004D5EC4"/>
    <w:rsid w:val="004D6889"/>
    <w:rsid w:val="004D7755"/>
    <w:rsid w:val="004E264D"/>
    <w:rsid w:val="004E371B"/>
    <w:rsid w:val="004E40E5"/>
    <w:rsid w:val="004E4588"/>
    <w:rsid w:val="004E4DC5"/>
    <w:rsid w:val="004E6AFB"/>
    <w:rsid w:val="004E72A9"/>
    <w:rsid w:val="004E7AC3"/>
    <w:rsid w:val="004E7C0D"/>
    <w:rsid w:val="004E7C2E"/>
    <w:rsid w:val="004F0A0F"/>
    <w:rsid w:val="004F1580"/>
    <w:rsid w:val="004F16F2"/>
    <w:rsid w:val="004F27BE"/>
    <w:rsid w:val="004F4838"/>
    <w:rsid w:val="004F4E86"/>
    <w:rsid w:val="004F545F"/>
    <w:rsid w:val="004F57EC"/>
    <w:rsid w:val="004F59C6"/>
    <w:rsid w:val="004F6081"/>
    <w:rsid w:val="00500690"/>
    <w:rsid w:val="00502B61"/>
    <w:rsid w:val="0050308A"/>
    <w:rsid w:val="0050417C"/>
    <w:rsid w:val="00505297"/>
    <w:rsid w:val="00505DCA"/>
    <w:rsid w:val="0050668B"/>
    <w:rsid w:val="005077AD"/>
    <w:rsid w:val="00507E97"/>
    <w:rsid w:val="00510087"/>
    <w:rsid w:val="0051021D"/>
    <w:rsid w:val="00510621"/>
    <w:rsid w:val="00510831"/>
    <w:rsid w:val="00514468"/>
    <w:rsid w:val="00516416"/>
    <w:rsid w:val="005167A2"/>
    <w:rsid w:val="00516F92"/>
    <w:rsid w:val="005202F2"/>
    <w:rsid w:val="005203B2"/>
    <w:rsid w:val="005205D2"/>
    <w:rsid w:val="00521D4D"/>
    <w:rsid w:val="00521DF4"/>
    <w:rsid w:val="005225DC"/>
    <w:rsid w:val="00522F2B"/>
    <w:rsid w:val="00523994"/>
    <w:rsid w:val="00523CCB"/>
    <w:rsid w:val="00523D03"/>
    <w:rsid w:val="0052421D"/>
    <w:rsid w:val="005246AA"/>
    <w:rsid w:val="0052724A"/>
    <w:rsid w:val="005278C0"/>
    <w:rsid w:val="005306DD"/>
    <w:rsid w:val="00530CDC"/>
    <w:rsid w:val="0053149B"/>
    <w:rsid w:val="00534318"/>
    <w:rsid w:val="00534891"/>
    <w:rsid w:val="00535915"/>
    <w:rsid w:val="00535AF3"/>
    <w:rsid w:val="00535C51"/>
    <w:rsid w:val="005361F2"/>
    <w:rsid w:val="005362D4"/>
    <w:rsid w:val="005363FF"/>
    <w:rsid w:val="00536DC1"/>
    <w:rsid w:val="00536E62"/>
    <w:rsid w:val="005415DC"/>
    <w:rsid w:val="00541BCD"/>
    <w:rsid w:val="00541EB6"/>
    <w:rsid w:val="00542E63"/>
    <w:rsid w:val="005431E5"/>
    <w:rsid w:val="00543B76"/>
    <w:rsid w:val="00543DAA"/>
    <w:rsid w:val="00545934"/>
    <w:rsid w:val="00545C0B"/>
    <w:rsid w:val="00545D58"/>
    <w:rsid w:val="005461CA"/>
    <w:rsid w:val="0054730D"/>
    <w:rsid w:val="00547388"/>
    <w:rsid w:val="005503ED"/>
    <w:rsid w:val="00553015"/>
    <w:rsid w:val="00553DC2"/>
    <w:rsid w:val="00554CD1"/>
    <w:rsid w:val="0055503D"/>
    <w:rsid w:val="0055542D"/>
    <w:rsid w:val="00556A6D"/>
    <w:rsid w:val="00556FA2"/>
    <w:rsid w:val="00560882"/>
    <w:rsid w:val="005609F6"/>
    <w:rsid w:val="00561645"/>
    <w:rsid w:val="005627E8"/>
    <w:rsid w:val="005627FC"/>
    <w:rsid w:val="005634F5"/>
    <w:rsid w:val="005655EB"/>
    <w:rsid w:val="0056681E"/>
    <w:rsid w:val="00572BDA"/>
    <w:rsid w:val="005735A7"/>
    <w:rsid w:val="00573A73"/>
    <w:rsid w:val="00573F40"/>
    <w:rsid w:val="00574B91"/>
    <w:rsid w:val="00574E3C"/>
    <w:rsid w:val="00576B49"/>
    <w:rsid w:val="00577E48"/>
    <w:rsid w:val="00580CF9"/>
    <w:rsid w:val="00581E94"/>
    <w:rsid w:val="005820BD"/>
    <w:rsid w:val="00582A98"/>
    <w:rsid w:val="00582DE4"/>
    <w:rsid w:val="0058334F"/>
    <w:rsid w:val="005835A0"/>
    <w:rsid w:val="0058393E"/>
    <w:rsid w:val="00583D84"/>
    <w:rsid w:val="0058474C"/>
    <w:rsid w:val="00584B0A"/>
    <w:rsid w:val="005861E5"/>
    <w:rsid w:val="00586708"/>
    <w:rsid w:val="00586A99"/>
    <w:rsid w:val="00587756"/>
    <w:rsid w:val="00587FE6"/>
    <w:rsid w:val="00590E98"/>
    <w:rsid w:val="005918D1"/>
    <w:rsid w:val="00592C1B"/>
    <w:rsid w:val="00592CF2"/>
    <w:rsid w:val="00593028"/>
    <w:rsid w:val="00593144"/>
    <w:rsid w:val="005948F3"/>
    <w:rsid w:val="00594A63"/>
    <w:rsid w:val="0059546F"/>
    <w:rsid w:val="00595F90"/>
    <w:rsid w:val="00597C48"/>
    <w:rsid w:val="005A1CE4"/>
    <w:rsid w:val="005A3199"/>
    <w:rsid w:val="005A3DFB"/>
    <w:rsid w:val="005A4173"/>
    <w:rsid w:val="005A4597"/>
    <w:rsid w:val="005A47C9"/>
    <w:rsid w:val="005A4F18"/>
    <w:rsid w:val="005A642C"/>
    <w:rsid w:val="005A6B7D"/>
    <w:rsid w:val="005B1FBE"/>
    <w:rsid w:val="005B6D02"/>
    <w:rsid w:val="005C121A"/>
    <w:rsid w:val="005C1F22"/>
    <w:rsid w:val="005C21B3"/>
    <w:rsid w:val="005C3AD9"/>
    <w:rsid w:val="005C3D17"/>
    <w:rsid w:val="005C5233"/>
    <w:rsid w:val="005C5237"/>
    <w:rsid w:val="005C6C92"/>
    <w:rsid w:val="005C6F82"/>
    <w:rsid w:val="005C7AC3"/>
    <w:rsid w:val="005D00B5"/>
    <w:rsid w:val="005D0133"/>
    <w:rsid w:val="005D042A"/>
    <w:rsid w:val="005D1C5D"/>
    <w:rsid w:val="005D279F"/>
    <w:rsid w:val="005D2F99"/>
    <w:rsid w:val="005D4A90"/>
    <w:rsid w:val="005D4AF0"/>
    <w:rsid w:val="005D625F"/>
    <w:rsid w:val="005D6937"/>
    <w:rsid w:val="005D705D"/>
    <w:rsid w:val="005D75C8"/>
    <w:rsid w:val="005E1C72"/>
    <w:rsid w:val="005E2614"/>
    <w:rsid w:val="005E26CA"/>
    <w:rsid w:val="005E2D7B"/>
    <w:rsid w:val="005E32F3"/>
    <w:rsid w:val="005E3C1A"/>
    <w:rsid w:val="005E46F1"/>
    <w:rsid w:val="005E4B43"/>
    <w:rsid w:val="005E5C16"/>
    <w:rsid w:val="005E5C8E"/>
    <w:rsid w:val="005F104C"/>
    <w:rsid w:val="005F518B"/>
    <w:rsid w:val="005F5638"/>
    <w:rsid w:val="005F6CC3"/>
    <w:rsid w:val="005F7884"/>
    <w:rsid w:val="00600803"/>
    <w:rsid w:val="006027F0"/>
    <w:rsid w:val="00603680"/>
    <w:rsid w:val="0060467B"/>
    <w:rsid w:val="00604B8E"/>
    <w:rsid w:val="00604E8C"/>
    <w:rsid w:val="00605448"/>
    <w:rsid w:val="006073B3"/>
    <w:rsid w:val="00607AEF"/>
    <w:rsid w:val="00607EAC"/>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1BC"/>
    <w:rsid w:val="006349E7"/>
    <w:rsid w:val="00635544"/>
    <w:rsid w:val="00635E54"/>
    <w:rsid w:val="00635EB5"/>
    <w:rsid w:val="00637365"/>
    <w:rsid w:val="0063784E"/>
    <w:rsid w:val="0064026C"/>
    <w:rsid w:val="00640762"/>
    <w:rsid w:val="0064160D"/>
    <w:rsid w:val="0064273E"/>
    <w:rsid w:val="00644E53"/>
    <w:rsid w:val="00645281"/>
    <w:rsid w:val="0064588E"/>
    <w:rsid w:val="00645BED"/>
    <w:rsid w:val="00645D8D"/>
    <w:rsid w:val="00647C57"/>
    <w:rsid w:val="00650001"/>
    <w:rsid w:val="00651CE9"/>
    <w:rsid w:val="0065394D"/>
    <w:rsid w:val="00653E6D"/>
    <w:rsid w:val="00655116"/>
    <w:rsid w:val="00656680"/>
    <w:rsid w:val="00656DD3"/>
    <w:rsid w:val="00657776"/>
    <w:rsid w:val="00657A2F"/>
    <w:rsid w:val="006616E3"/>
    <w:rsid w:val="0066178D"/>
    <w:rsid w:val="006626D4"/>
    <w:rsid w:val="00662DED"/>
    <w:rsid w:val="00665477"/>
    <w:rsid w:val="006670D6"/>
    <w:rsid w:val="0066718E"/>
    <w:rsid w:val="00667CD6"/>
    <w:rsid w:val="00671061"/>
    <w:rsid w:val="00672A2C"/>
    <w:rsid w:val="00672EE9"/>
    <w:rsid w:val="00673484"/>
    <w:rsid w:val="00675751"/>
    <w:rsid w:val="00675809"/>
    <w:rsid w:val="00675813"/>
    <w:rsid w:val="00676280"/>
    <w:rsid w:val="00676390"/>
    <w:rsid w:val="00676CB8"/>
    <w:rsid w:val="00676FE5"/>
    <w:rsid w:val="00681D6B"/>
    <w:rsid w:val="00682E52"/>
    <w:rsid w:val="006846A2"/>
    <w:rsid w:val="006856EF"/>
    <w:rsid w:val="00685DD6"/>
    <w:rsid w:val="00685E1F"/>
    <w:rsid w:val="006872A1"/>
    <w:rsid w:val="00690825"/>
    <w:rsid w:val="00691192"/>
    <w:rsid w:val="00691249"/>
    <w:rsid w:val="006923E1"/>
    <w:rsid w:val="0069278D"/>
    <w:rsid w:val="00692972"/>
    <w:rsid w:val="00694E56"/>
    <w:rsid w:val="00694E7F"/>
    <w:rsid w:val="00695F5D"/>
    <w:rsid w:val="006A020D"/>
    <w:rsid w:val="006A0369"/>
    <w:rsid w:val="006A0DF9"/>
    <w:rsid w:val="006A1418"/>
    <w:rsid w:val="006A266E"/>
    <w:rsid w:val="006A30D1"/>
    <w:rsid w:val="006A3B80"/>
    <w:rsid w:val="006A6ABB"/>
    <w:rsid w:val="006A702C"/>
    <w:rsid w:val="006B0972"/>
    <w:rsid w:val="006B23C1"/>
    <w:rsid w:val="006B2AE7"/>
    <w:rsid w:val="006B2D04"/>
    <w:rsid w:val="006B2D1C"/>
    <w:rsid w:val="006B400C"/>
    <w:rsid w:val="006B47AA"/>
    <w:rsid w:val="006B51E1"/>
    <w:rsid w:val="006B5248"/>
    <w:rsid w:val="006B6E14"/>
    <w:rsid w:val="006B76EE"/>
    <w:rsid w:val="006C0300"/>
    <w:rsid w:val="006C1B6F"/>
    <w:rsid w:val="006C2B4F"/>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6D4A"/>
    <w:rsid w:val="006E023E"/>
    <w:rsid w:val="006E0D8B"/>
    <w:rsid w:val="006E2819"/>
    <w:rsid w:val="006E3FA6"/>
    <w:rsid w:val="006E4B76"/>
    <w:rsid w:val="006E4DF2"/>
    <w:rsid w:val="006E5AAC"/>
    <w:rsid w:val="006E5B37"/>
    <w:rsid w:val="006E6D14"/>
    <w:rsid w:val="006E7091"/>
    <w:rsid w:val="006E7B1A"/>
    <w:rsid w:val="006E7EA8"/>
    <w:rsid w:val="006F06B9"/>
    <w:rsid w:val="006F1829"/>
    <w:rsid w:val="006F1BEF"/>
    <w:rsid w:val="006F4BDB"/>
    <w:rsid w:val="006F52E8"/>
    <w:rsid w:val="006F5848"/>
    <w:rsid w:val="006F5DB2"/>
    <w:rsid w:val="006F5EAA"/>
    <w:rsid w:val="006F755E"/>
    <w:rsid w:val="006F765B"/>
    <w:rsid w:val="006F7844"/>
    <w:rsid w:val="006F7AFD"/>
    <w:rsid w:val="0070066D"/>
    <w:rsid w:val="00701B46"/>
    <w:rsid w:val="00701F9C"/>
    <w:rsid w:val="007024AE"/>
    <w:rsid w:val="0070259A"/>
    <w:rsid w:val="0070270C"/>
    <w:rsid w:val="0070358B"/>
    <w:rsid w:val="0070412F"/>
    <w:rsid w:val="007049E7"/>
    <w:rsid w:val="00706DB6"/>
    <w:rsid w:val="007076E0"/>
    <w:rsid w:val="00710463"/>
    <w:rsid w:val="00710DED"/>
    <w:rsid w:val="00711F65"/>
    <w:rsid w:val="0071250F"/>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6559"/>
    <w:rsid w:val="007366E9"/>
    <w:rsid w:val="00741266"/>
    <w:rsid w:val="00742B23"/>
    <w:rsid w:val="00742C37"/>
    <w:rsid w:val="00743D4A"/>
    <w:rsid w:val="00744133"/>
    <w:rsid w:val="0074552B"/>
    <w:rsid w:val="0074674C"/>
    <w:rsid w:val="007467C4"/>
    <w:rsid w:val="00747352"/>
    <w:rsid w:val="00747660"/>
    <w:rsid w:val="007502BB"/>
    <w:rsid w:val="007506B6"/>
    <w:rsid w:val="0075082D"/>
    <w:rsid w:val="00751008"/>
    <w:rsid w:val="0075117B"/>
    <w:rsid w:val="00751CEF"/>
    <w:rsid w:val="0075207B"/>
    <w:rsid w:val="00752619"/>
    <w:rsid w:val="00752A31"/>
    <w:rsid w:val="00753DF1"/>
    <w:rsid w:val="00755119"/>
    <w:rsid w:val="007579A7"/>
    <w:rsid w:val="00757BBD"/>
    <w:rsid w:val="007601EB"/>
    <w:rsid w:val="007609FF"/>
    <w:rsid w:val="00760D92"/>
    <w:rsid w:val="0076175D"/>
    <w:rsid w:val="00761D38"/>
    <w:rsid w:val="00762CE8"/>
    <w:rsid w:val="00764006"/>
    <w:rsid w:val="0076434A"/>
    <w:rsid w:val="0076528B"/>
    <w:rsid w:val="00765E9E"/>
    <w:rsid w:val="00766380"/>
    <w:rsid w:val="007671CF"/>
    <w:rsid w:val="0076793A"/>
    <w:rsid w:val="00767AF2"/>
    <w:rsid w:val="007705DF"/>
    <w:rsid w:val="00770FC9"/>
    <w:rsid w:val="00771C75"/>
    <w:rsid w:val="00772413"/>
    <w:rsid w:val="007727F5"/>
    <w:rsid w:val="00772F33"/>
    <w:rsid w:val="00773263"/>
    <w:rsid w:val="007737E4"/>
    <w:rsid w:val="00773F6D"/>
    <w:rsid w:val="00774477"/>
    <w:rsid w:val="00774EE4"/>
    <w:rsid w:val="00775CFE"/>
    <w:rsid w:val="00776049"/>
    <w:rsid w:val="00776F3B"/>
    <w:rsid w:val="00777564"/>
    <w:rsid w:val="0077767C"/>
    <w:rsid w:val="00781CC5"/>
    <w:rsid w:val="0078236C"/>
    <w:rsid w:val="007827BC"/>
    <w:rsid w:val="00783D20"/>
    <w:rsid w:val="007857E0"/>
    <w:rsid w:val="00787180"/>
    <w:rsid w:val="007875E7"/>
    <w:rsid w:val="007919B7"/>
    <w:rsid w:val="00792C84"/>
    <w:rsid w:val="00793254"/>
    <w:rsid w:val="007942C8"/>
    <w:rsid w:val="00795184"/>
    <w:rsid w:val="00795D1C"/>
    <w:rsid w:val="00795FD3"/>
    <w:rsid w:val="0079637E"/>
    <w:rsid w:val="007963DC"/>
    <w:rsid w:val="00796E9F"/>
    <w:rsid w:val="007A040F"/>
    <w:rsid w:val="007A0912"/>
    <w:rsid w:val="007A1868"/>
    <w:rsid w:val="007A2705"/>
    <w:rsid w:val="007A2DAA"/>
    <w:rsid w:val="007A4CD1"/>
    <w:rsid w:val="007A7E0E"/>
    <w:rsid w:val="007B07E1"/>
    <w:rsid w:val="007B162E"/>
    <w:rsid w:val="007B248C"/>
    <w:rsid w:val="007B2D6E"/>
    <w:rsid w:val="007B5207"/>
    <w:rsid w:val="007B5723"/>
    <w:rsid w:val="007B577A"/>
    <w:rsid w:val="007B58F0"/>
    <w:rsid w:val="007B6132"/>
    <w:rsid w:val="007B6286"/>
    <w:rsid w:val="007C343E"/>
    <w:rsid w:val="007C3BFE"/>
    <w:rsid w:val="007C48D1"/>
    <w:rsid w:val="007C4D08"/>
    <w:rsid w:val="007C7155"/>
    <w:rsid w:val="007C7398"/>
    <w:rsid w:val="007D0E42"/>
    <w:rsid w:val="007D1941"/>
    <w:rsid w:val="007D1F7B"/>
    <w:rsid w:val="007D3B79"/>
    <w:rsid w:val="007D42C5"/>
    <w:rsid w:val="007D4EB1"/>
    <w:rsid w:val="007D504B"/>
    <w:rsid w:val="007D60B3"/>
    <w:rsid w:val="007E1165"/>
    <w:rsid w:val="007E2E9D"/>
    <w:rsid w:val="007E3B01"/>
    <w:rsid w:val="007E5BFD"/>
    <w:rsid w:val="007E6BCF"/>
    <w:rsid w:val="007E6D01"/>
    <w:rsid w:val="007E70D0"/>
    <w:rsid w:val="007E79A3"/>
    <w:rsid w:val="007E79F0"/>
    <w:rsid w:val="007F16AA"/>
    <w:rsid w:val="007F2DE1"/>
    <w:rsid w:val="007F3122"/>
    <w:rsid w:val="007F32CB"/>
    <w:rsid w:val="007F3CA0"/>
    <w:rsid w:val="007F4275"/>
    <w:rsid w:val="007F4592"/>
    <w:rsid w:val="007F4673"/>
    <w:rsid w:val="007F66BF"/>
    <w:rsid w:val="007F722E"/>
    <w:rsid w:val="007F76F2"/>
    <w:rsid w:val="00803002"/>
    <w:rsid w:val="008031A8"/>
    <w:rsid w:val="0080350C"/>
    <w:rsid w:val="0080364D"/>
    <w:rsid w:val="008036B1"/>
    <w:rsid w:val="008047B3"/>
    <w:rsid w:val="00804C59"/>
    <w:rsid w:val="00805337"/>
    <w:rsid w:val="008057A1"/>
    <w:rsid w:val="00806EBB"/>
    <w:rsid w:val="008102A3"/>
    <w:rsid w:val="008109FF"/>
    <w:rsid w:val="008116A0"/>
    <w:rsid w:val="008118EF"/>
    <w:rsid w:val="00811CCD"/>
    <w:rsid w:val="00812C25"/>
    <w:rsid w:val="00813D32"/>
    <w:rsid w:val="00813D6F"/>
    <w:rsid w:val="0081455C"/>
    <w:rsid w:val="00814B55"/>
    <w:rsid w:val="00816C73"/>
    <w:rsid w:val="008205C2"/>
    <w:rsid w:val="0082069D"/>
    <w:rsid w:val="00820885"/>
    <w:rsid w:val="00820FDE"/>
    <w:rsid w:val="008214D2"/>
    <w:rsid w:val="00821BD3"/>
    <w:rsid w:val="00822576"/>
    <w:rsid w:val="0082299F"/>
    <w:rsid w:val="00824306"/>
    <w:rsid w:val="0082458A"/>
    <w:rsid w:val="008245F6"/>
    <w:rsid w:val="00824AF2"/>
    <w:rsid w:val="008257BE"/>
    <w:rsid w:val="008263EA"/>
    <w:rsid w:val="00826BE1"/>
    <w:rsid w:val="0082766E"/>
    <w:rsid w:val="00827D0D"/>
    <w:rsid w:val="008305DE"/>
    <w:rsid w:val="00831203"/>
    <w:rsid w:val="0083372F"/>
    <w:rsid w:val="00833731"/>
    <w:rsid w:val="00833F21"/>
    <w:rsid w:val="00836001"/>
    <w:rsid w:val="0084050F"/>
    <w:rsid w:val="00841156"/>
    <w:rsid w:val="00841C1D"/>
    <w:rsid w:val="00841E72"/>
    <w:rsid w:val="00842E6F"/>
    <w:rsid w:val="00842F50"/>
    <w:rsid w:val="008445AC"/>
    <w:rsid w:val="008451B8"/>
    <w:rsid w:val="00846F01"/>
    <w:rsid w:val="00847418"/>
    <w:rsid w:val="00847608"/>
    <w:rsid w:val="00851E9F"/>
    <w:rsid w:val="008532F5"/>
    <w:rsid w:val="008539B1"/>
    <w:rsid w:val="00853F0F"/>
    <w:rsid w:val="00854198"/>
    <w:rsid w:val="0085553E"/>
    <w:rsid w:val="008562E6"/>
    <w:rsid w:val="008578D5"/>
    <w:rsid w:val="00857C04"/>
    <w:rsid w:val="008610E8"/>
    <w:rsid w:val="0086138B"/>
    <w:rsid w:val="008618D7"/>
    <w:rsid w:val="0086576A"/>
    <w:rsid w:val="00865F37"/>
    <w:rsid w:val="00866BFD"/>
    <w:rsid w:val="00866DE4"/>
    <w:rsid w:val="008672BF"/>
    <w:rsid w:val="008672DF"/>
    <w:rsid w:val="00870661"/>
    <w:rsid w:val="00870E7C"/>
    <w:rsid w:val="00871F96"/>
    <w:rsid w:val="008731E9"/>
    <w:rsid w:val="008741FC"/>
    <w:rsid w:val="00874458"/>
    <w:rsid w:val="00874D67"/>
    <w:rsid w:val="0087510D"/>
    <w:rsid w:val="00875255"/>
    <w:rsid w:val="0087567B"/>
    <w:rsid w:val="00875AA2"/>
    <w:rsid w:val="008762E0"/>
    <w:rsid w:val="0087683D"/>
    <w:rsid w:val="0087729E"/>
    <w:rsid w:val="00880F80"/>
    <w:rsid w:val="0088112F"/>
    <w:rsid w:val="00882A2C"/>
    <w:rsid w:val="00882B48"/>
    <w:rsid w:val="008843A6"/>
    <w:rsid w:val="00885347"/>
    <w:rsid w:val="00886389"/>
    <w:rsid w:val="00886C6A"/>
    <w:rsid w:val="00890FFF"/>
    <w:rsid w:val="00891020"/>
    <w:rsid w:val="00891F80"/>
    <w:rsid w:val="008921F4"/>
    <w:rsid w:val="00895995"/>
    <w:rsid w:val="00895EE1"/>
    <w:rsid w:val="008961A5"/>
    <w:rsid w:val="0089662D"/>
    <w:rsid w:val="00896738"/>
    <w:rsid w:val="008A0DC0"/>
    <w:rsid w:val="008A0EC7"/>
    <w:rsid w:val="008A1C51"/>
    <w:rsid w:val="008A229E"/>
    <w:rsid w:val="008A3D69"/>
    <w:rsid w:val="008A6123"/>
    <w:rsid w:val="008A6788"/>
    <w:rsid w:val="008A6EC7"/>
    <w:rsid w:val="008A6F29"/>
    <w:rsid w:val="008A6F35"/>
    <w:rsid w:val="008A7B28"/>
    <w:rsid w:val="008B0155"/>
    <w:rsid w:val="008B12CF"/>
    <w:rsid w:val="008B14EC"/>
    <w:rsid w:val="008B1537"/>
    <w:rsid w:val="008B2422"/>
    <w:rsid w:val="008B2851"/>
    <w:rsid w:val="008B2ED2"/>
    <w:rsid w:val="008B2EE8"/>
    <w:rsid w:val="008B354C"/>
    <w:rsid w:val="008B3A1D"/>
    <w:rsid w:val="008B3BB7"/>
    <w:rsid w:val="008B3FB7"/>
    <w:rsid w:val="008B516C"/>
    <w:rsid w:val="008B5405"/>
    <w:rsid w:val="008B5FF7"/>
    <w:rsid w:val="008B6F4B"/>
    <w:rsid w:val="008B7F0D"/>
    <w:rsid w:val="008C0EF7"/>
    <w:rsid w:val="008C15EC"/>
    <w:rsid w:val="008C2FB6"/>
    <w:rsid w:val="008C382A"/>
    <w:rsid w:val="008C3F52"/>
    <w:rsid w:val="008C4BFB"/>
    <w:rsid w:val="008C5CB4"/>
    <w:rsid w:val="008C62E5"/>
    <w:rsid w:val="008C6C73"/>
    <w:rsid w:val="008C6EBD"/>
    <w:rsid w:val="008C6EF1"/>
    <w:rsid w:val="008D07E0"/>
    <w:rsid w:val="008D12A6"/>
    <w:rsid w:val="008D1B16"/>
    <w:rsid w:val="008D2819"/>
    <w:rsid w:val="008D49DD"/>
    <w:rsid w:val="008D6087"/>
    <w:rsid w:val="008D6572"/>
    <w:rsid w:val="008D7125"/>
    <w:rsid w:val="008D75EB"/>
    <w:rsid w:val="008E09E7"/>
    <w:rsid w:val="008E37B1"/>
    <w:rsid w:val="008E3CCE"/>
    <w:rsid w:val="008E3FA1"/>
    <w:rsid w:val="008E4B40"/>
    <w:rsid w:val="008E53BF"/>
    <w:rsid w:val="008E567E"/>
    <w:rsid w:val="008E5894"/>
    <w:rsid w:val="008E6331"/>
    <w:rsid w:val="008E6D5D"/>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3E55"/>
    <w:rsid w:val="009059F7"/>
    <w:rsid w:val="00906464"/>
    <w:rsid w:val="00911110"/>
    <w:rsid w:val="0091133D"/>
    <w:rsid w:val="0091295D"/>
    <w:rsid w:val="00912F97"/>
    <w:rsid w:val="0091426C"/>
    <w:rsid w:val="00915787"/>
    <w:rsid w:val="00916F22"/>
    <w:rsid w:val="00916F30"/>
    <w:rsid w:val="00921BB1"/>
    <w:rsid w:val="00922059"/>
    <w:rsid w:val="009257C1"/>
    <w:rsid w:val="00925941"/>
    <w:rsid w:val="0092603A"/>
    <w:rsid w:val="009264E1"/>
    <w:rsid w:val="00927C10"/>
    <w:rsid w:val="009301DD"/>
    <w:rsid w:val="00930E95"/>
    <w:rsid w:val="00931464"/>
    <w:rsid w:val="00932D40"/>
    <w:rsid w:val="009336C4"/>
    <w:rsid w:val="00933B79"/>
    <w:rsid w:val="00933BDB"/>
    <w:rsid w:val="0093444A"/>
    <w:rsid w:val="009348E3"/>
    <w:rsid w:val="00934C3A"/>
    <w:rsid w:val="00935EE7"/>
    <w:rsid w:val="00936962"/>
    <w:rsid w:val="00937175"/>
    <w:rsid w:val="0093732C"/>
    <w:rsid w:val="00937F80"/>
    <w:rsid w:val="009406EE"/>
    <w:rsid w:val="0094204A"/>
    <w:rsid w:val="00942AAB"/>
    <w:rsid w:val="0094574B"/>
    <w:rsid w:val="009465EC"/>
    <w:rsid w:val="00946B6D"/>
    <w:rsid w:val="00947E56"/>
    <w:rsid w:val="00951059"/>
    <w:rsid w:val="009512F2"/>
    <w:rsid w:val="00951892"/>
    <w:rsid w:val="00951E90"/>
    <w:rsid w:val="0095382D"/>
    <w:rsid w:val="00953D37"/>
    <w:rsid w:val="00955019"/>
    <w:rsid w:val="009551A5"/>
    <w:rsid w:val="009553F7"/>
    <w:rsid w:val="00955530"/>
    <w:rsid w:val="00955D5A"/>
    <w:rsid w:val="00955E53"/>
    <w:rsid w:val="009577FF"/>
    <w:rsid w:val="0096016B"/>
    <w:rsid w:val="00962EB5"/>
    <w:rsid w:val="00962FBE"/>
    <w:rsid w:val="0096307B"/>
    <w:rsid w:val="00963DE2"/>
    <w:rsid w:val="0096415C"/>
    <w:rsid w:val="00964B89"/>
    <w:rsid w:val="00965A15"/>
    <w:rsid w:val="0096755C"/>
    <w:rsid w:val="00967971"/>
    <w:rsid w:val="00967BBF"/>
    <w:rsid w:val="0097173E"/>
    <w:rsid w:val="00971D49"/>
    <w:rsid w:val="009721A3"/>
    <w:rsid w:val="0097257D"/>
    <w:rsid w:val="009738B0"/>
    <w:rsid w:val="00974567"/>
    <w:rsid w:val="00977AF7"/>
    <w:rsid w:val="00977E70"/>
    <w:rsid w:val="00980AC9"/>
    <w:rsid w:val="00981B55"/>
    <w:rsid w:val="009835F0"/>
    <w:rsid w:val="00983661"/>
    <w:rsid w:val="00983FEF"/>
    <w:rsid w:val="00984CC4"/>
    <w:rsid w:val="00985B9E"/>
    <w:rsid w:val="00986608"/>
    <w:rsid w:val="00986A59"/>
    <w:rsid w:val="00986B89"/>
    <w:rsid w:val="009874E5"/>
    <w:rsid w:val="009921C9"/>
    <w:rsid w:val="00992454"/>
    <w:rsid w:val="00992CE8"/>
    <w:rsid w:val="0099342D"/>
    <w:rsid w:val="00993D0E"/>
    <w:rsid w:val="00993F99"/>
    <w:rsid w:val="009940D7"/>
    <w:rsid w:val="00995B37"/>
    <w:rsid w:val="0099759A"/>
    <w:rsid w:val="009A1195"/>
    <w:rsid w:val="009A1A13"/>
    <w:rsid w:val="009A291A"/>
    <w:rsid w:val="009A5205"/>
    <w:rsid w:val="009A65B4"/>
    <w:rsid w:val="009A6B05"/>
    <w:rsid w:val="009A7455"/>
    <w:rsid w:val="009A79FD"/>
    <w:rsid w:val="009A7AA9"/>
    <w:rsid w:val="009A7C7B"/>
    <w:rsid w:val="009B04C7"/>
    <w:rsid w:val="009B13E4"/>
    <w:rsid w:val="009B1477"/>
    <w:rsid w:val="009B16CD"/>
    <w:rsid w:val="009B1B34"/>
    <w:rsid w:val="009B2AE7"/>
    <w:rsid w:val="009B54C2"/>
    <w:rsid w:val="009B64EC"/>
    <w:rsid w:val="009B6AE2"/>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C46"/>
    <w:rsid w:val="009D41E7"/>
    <w:rsid w:val="009D6810"/>
    <w:rsid w:val="009D6C00"/>
    <w:rsid w:val="009D75D8"/>
    <w:rsid w:val="009D7948"/>
    <w:rsid w:val="009E16D6"/>
    <w:rsid w:val="009E1999"/>
    <w:rsid w:val="009E25DC"/>
    <w:rsid w:val="009E303E"/>
    <w:rsid w:val="009E34B0"/>
    <w:rsid w:val="009E4967"/>
    <w:rsid w:val="009E4EF7"/>
    <w:rsid w:val="009E4F3C"/>
    <w:rsid w:val="009E5687"/>
    <w:rsid w:val="009E69C0"/>
    <w:rsid w:val="009E6B79"/>
    <w:rsid w:val="009E6DDE"/>
    <w:rsid w:val="009E7469"/>
    <w:rsid w:val="009E757E"/>
    <w:rsid w:val="009F0E6D"/>
    <w:rsid w:val="009F1AB6"/>
    <w:rsid w:val="009F1AF6"/>
    <w:rsid w:val="009F2AB7"/>
    <w:rsid w:val="009F3C98"/>
    <w:rsid w:val="009F47F4"/>
    <w:rsid w:val="009F494C"/>
    <w:rsid w:val="009F6485"/>
    <w:rsid w:val="009F666C"/>
    <w:rsid w:val="009F7654"/>
    <w:rsid w:val="00A014BE"/>
    <w:rsid w:val="00A02243"/>
    <w:rsid w:val="00A0375F"/>
    <w:rsid w:val="00A04340"/>
    <w:rsid w:val="00A049EA"/>
    <w:rsid w:val="00A04C8E"/>
    <w:rsid w:val="00A04F2C"/>
    <w:rsid w:val="00A0552A"/>
    <w:rsid w:val="00A059CD"/>
    <w:rsid w:val="00A06E79"/>
    <w:rsid w:val="00A06F83"/>
    <w:rsid w:val="00A07920"/>
    <w:rsid w:val="00A07EC9"/>
    <w:rsid w:val="00A11207"/>
    <w:rsid w:val="00A11B97"/>
    <w:rsid w:val="00A11BF2"/>
    <w:rsid w:val="00A11CDE"/>
    <w:rsid w:val="00A1323B"/>
    <w:rsid w:val="00A1371C"/>
    <w:rsid w:val="00A13A0A"/>
    <w:rsid w:val="00A147FC"/>
    <w:rsid w:val="00A15859"/>
    <w:rsid w:val="00A16B94"/>
    <w:rsid w:val="00A16FF1"/>
    <w:rsid w:val="00A174E0"/>
    <w:rsid w:val="00A218E9"/>
    <w:rsid w:val="00A21AC7"/>
    <w:rsid w:val="00A2220C"/>
    <w:rsid w:val="00A22A7C"/>
    <w:rsid w:val="00A22C39"/>
    <w:rsid w:val="00A22FA7"/>
    <w:rsid w:val="00A25379"/>
    <w:rsid w:val="00A25CF4"/>
    <w:rsid w:val="00A27B93"/>
    <w:rsid w:val="00A303C2"/>
    <w:rsid w:val="00A30A32"/>
    <w:rsid w:val="00A30BDF"/>
    <w:rsid w:val="00A316FB"/>
    <w:rsid w:val="00A31EE2"/>
    <w:rsid w:val="00A32255"/>
    <w:rsid w:val="00A322F0"/>
    <w:rsid w:val="00A34D6F"/>
    <w:rsid w:val="00A34FDA"/>
    <w:rsid w:val="00A41547"/>
    <w:rsid w:val="00A41A3E"/>
    <w:rsid w:val="00A41C58"/>
    <w:rsid w:val="00A420C9"/>
    <w:rsid w:val="00A42454"/>
    <w:rsid w:val="00A42ACF"/>
    <w:rsid w:val="00A43A66"/>
    <w:rsid w:val="00A4422A"/>
    <w:rsid w:val="00A45918"/>
    <w:rsid w:val="00A459AA"/>
    <w:rsid w:val="00A47206"/>
    <w:rsid w:val="00A5065C"/>
    <w:rsid w:val="00A517AB"/>
    <w:rsid w:val="00A51FDE"/>
    <w:rsid w:val="00A52078"/>
    <w:rsid w:val="00A52129"/>
    <w:rsid w:val="00A52A37"/>
    <w:rsid w:val="00A5306A"/>
    <w:rsid w:val="00A53488"/>
    <w:rsid w:val="00A54C08"/>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466"/>
    <w:rsid w:val="00A73BEA"/>
    <w:rsid w:val="00A74EB8"/>
    <w:rsid w:val="00A75895"/>
    <w:rsid w:val="00A75E7C"/>
    <w:rsid w:val="00A76496"/>
    <w:rsid w:val="00A77C4A"/>
    <w:rsid w:val="00A820C2"/>
    <w:rsid w:val="00A82820"/>
    <w:rsid w:val="00A829B0"/>
    <w:rsid w:val="00A82C03"/>
    <w:rsid w:val="00A837B9"/>
    <w:rsid w:val="00A839C0"/>
    <w:rsid w:val="00A852BE"/>
    <w:rsid w:val="00A85E52"/>
    <w:rsid w:val="00A868FC"/>
    <w:rsid w:val="00A86D60"/>
    <w:rsid w:val="00A91FC2"/>
    <w:rsid w:val="00A92266"/>
    <w:rsid w:val="00A92B4E"/>
    <w:rsid w:val="00A93368"/>
    <w:rsid w:val="00A93A9C"/>
    <w:rsid w:val="00A93BE5"/>
    <w:rsid w:val="00A93F68"/>
    <w:rsid w:val="00A94BC3"/>
    <w:rsid w:val="00A94EEE"/>
    <w:rsid w:val="00A957DC"/>
    <w:rsid w:val="00A9753C"/>
    <w:rsid w:val="00A977F1"/>
    <w:rsid w:val="00AA0727"/>
    <w:rsid w:val="00AA0B9C"/>
    <w:rsid w:val="00AA1E37"/>
    <w:rsid w:val="00AA3365"/>
    <w:rsid w:val="00AA45A3"/>
    <w:rsid w:val="00AA49B7"/>
    <w:rsid w:val="00AA63A0"/>
    <w:rsid w:val="00AA69DF"/>
    <w:rsid w:val="00AB0B00"/>
    <w:rsid w:val="00AB1961"/>
    <w:rsid w:val="00AB1C8A"/>
    <w:rsid w:val="00AB2157"/>
    <w:rsid w:val="00AB39A3"/>
    <w:rsid w:val="00AB501C"/>
    <w:rsid w:val="00AB58DB"/>
    <w:rsid w:val="00AB6032"/>
    <w:rsid w:val="00AC02D7"/>
    <w:rsid w:val="00AC1430"/>
    <w:rsid w:val="00AC2AD6"/>
    <w:rsid w:val="00AC330A"/>
    <w:rsid w:val="00AC334F"/>
    <w:rsid w:val="00AC39F5"/>
    <w:rsid w:val="00AC3DC8"/>
    <w:rsid w:val="00AC41CF"/>
    <w:rsid w:val="00AC4EB4"/>
    <w:rsid w:val="00AD0493"/>
    <w:rsid w:val="00AD0589"/>
    <w:rsid w:val="00AD0B54"/>
    <w:rsid w:val="00AD0DDB"/>
    <w:rsid w:val="00AD1F6C"/>
    <w:rsid w:val="00AD1F83"/>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365E"/>
    <w:rsid w:val="00AE404C"/>
    <w:rsid w:val="00AE4EDA"/>
    <w:rsid w:val="00AE532E"/>
    <w:rsid w:val="00AE7945"/>
    <w:rsid w:val="00AE7BCA"/>
    <w:rsid w:val="00AF0DFA"/>
    <w:rsid w:val="00AF34FF"/>
    <w:rsid w:val="00AF37A4"/>
    <w:rsid w:val="00AF420A"/>
    <w:rsid w:val="00AF43DA"/>
    <w:rsid w:val="00AF5BFC"/>
    <w:rsid w:val="00AF6142"/>
    <w:rsid w:val="00AF61E2"/>
    <w:rsid w:val="00AF66EB"/>
    <w:rsid w:val="00AF6C2E"/>
    <w:rsid w:val="00AF7AB3"/>
    <w:rsid w:val="00AF7AC6"/>
    <w:rsid w:val="00AF7D9E"/>
    <w:rsid w:val="00B00486"/>
    <w:rsid w:val="00B02210"/>
    <w:rsid w:val="00B02745"/>
    <w:rsid w:val="00B02F85"/>
    <w:rsid w:val="00B03B65"/>
    <w:rsid w:val="00B03D62"/>
    <w:rsid w:val="00B057CD"/>
    <w:rsid w:val="00B064CA"/>
    <w:rsid w:val="00B07935"/>
    <w:rsid w:val="00B10292"/>
    <w:rsid w:val="00B10F33"/>
    <w:rsid w:val="00B121A2"/>
    <w:rsid w:val="00B1372C"/>
    <w:rsid w:val="00B1378B"/>
    <w:rsid w:val="00B13C69"/>
    <w:rsid w:val="00B14462"/>
    <w:rsid w:val="00B14BBB"/>
    <w:rsid w:val="00B14C58"/>
    <w:rsid w:val="00B14FD7"/>
    <w:rsid w:val="00B15708"/>
    <w:rsid w:val="00B163CE"/>
    <w:rsid w:val="00B169D3"/>
    <w:rsid w:val="00B20F08"/>
    <w:rsid w:val="00B215C7"/>
    <w:rsid w:val="00B21700"/>
    <w:rsid w:val="00B21E0C"/>
    <w:rsid w:val="00B21F52"/>
    <w:rsid w:val="00B22E75"/>
    <w:rsid w:val="00B244D7"/>
    <w:rsid w:val="00B24F27"/>
    <w:rsid w:val="00B26C28"/>
    <w:rsid w:val="00B26E2B"/>
    <w:rsid w:val="00B273AD"/>
    <w:rsid w:val="00B32319"/>
    <w:rsid w:val="00B32CF6"/>
    <w:rsid w:val="00B3308C"/>
    <w:rsid w:val="00B336DE"/>
    <w:rsid w:val="00B34575"/>
    <w:rsid w:val="00B3593F"/>
    <w:rsid w:val="00B35A89"/>
    <w:rsid w:val="00B364CF"/>
    <w:rsid w:val="00B367BA"/>
    <w:rsid w:val="00B40D67"/>
    <w:rsid w:val="00B40D98"/>
    <w:rsid w:val="00B41A24"/>
    <w:rsid w:val="00B41F77"/>
    <w:rsid w:val="00B421FB"/>
    <w:rsid w:val="00B422A2"/>
    <w:rsid w:val="00B427AE"/>
    <w:rsid w:val="00B42D8F"/>
    <w:rsid w:val="00B42E31"/>
    <w:rsid w:val="00B42E3F"/>
    <w:rsid w:val="00B43674"/>
    <w:rsid w:val="00B44880"/>
    <w:rsid w:val="00B47230"/>
    <w:rsid w:val="00B473CB"/>
    <w:rsid w:val="00B47511"/>
    <w:rsid w:val="00B503C6"/>
    <w:rsid w:val="00B50427"/>
    <w:rsid w:val="00B50AAF"/>
    <w:rsid w:val="00B50CC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75C8"/>
    <w:rsid w:val="00B70843"/>
    <w:rsid w:val="00B71467"/>
    <w:rsid w:val="00B71D1B"/>
    <w:rsid w:val="00B72183"/>
    <w:rsid w:val="00B729D0"/>
    <w:rsid w:val="00B73BC8"/>
    <w:rsid w:val="00B74D01"/>
    <w:rsid w:val="00B7607D"/>
    <w:rsid w:val="00B76AF4"/>
    <w:rsid w:val="00B77027"/>
    <w:rsid w:val="00B77DEA"/>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5039"/>
    <w:rsid w:val="00BA6590"/>
    <w:rsid w:val="00BA6E92"/>
    <w:rsid w:val="00BA7B23"/>
    <w:rsid w:val="00BB04FF"/>
    <w:rsid w:val="00BB22BC"/>
    <w:rsid w:val="00BB22D1"/>
    <w:rsid w:val="00BB2E8A"/>
    <w:rsid w:val="00BB3887"/>
    <w:rsid w:val="00BB3B76"/>
    <w:rsid w:val="00BB3BA4"/>
    <w:rsid w:val="00BB6259"/>
    <w:rsid w:val="00BB6B7F"/>
    <w:rsid w:val="00BB7C6F"/>
    <w:rsid w:val="00BC029E"/>
    <w:rsid w:val="00BC036D"/>
    <w:rsid w:val="00BC122C"/>
    <w:rsid w:val="00BC1434"/>
    <w:rsid w:val="00BC150D"/>
    <w:rsid w:val="00BC1640"/>
    <w:rsid w:val="00BC17E0"/>
    <w:rsid w:val="00BC27BB"/>
    <w:rsid w:val="00BC2BFD"/>
    <w:rsid w:val="00BC2D58"/>
    <w:rsid w:val="00BC31C0"/>
    <w:rsid w:val="00BC3839"/>
    <w:rsid w:val="00BC5387"/>
    <w:rsid w:val="00BC5D88"/>
    <w:rsid w:val="00BC6016"/>
    <w:rsid w:val="00BC6C31"/>
    <w:rsid w:val="00BC6DE0"/>
    <w:rsid w:val="00BD0142"/>
    <w:rsid w:val="00BD36E9"/>
    <w:rsid w:val="00BD4BF3"/>
    <w:rsid w:val="00BD50DB"/>
    <w:rsid w:val="00BD5302"/>
    <w:rsid w:val="00BD63E3"/>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7089"/>
    <w:rsid w:val="00C00791"/>
    <w:rsid w:val="00C00CC7"/>
    <w:rsid w:val="00C01EBA"/>
    <w:rsid w:val="00C01EF1"/>
    <w:rsid w:val="00C02591"/>
    <w:rsid w:val="00C02E15"/>
    <w:rsid w:val="00C03851"/>
    <w:rsid w:val="00C050DE"/>
    <w:rsid w:val="00C05D72"/>
    <w:rsid w:val="00C06AEB"/>
    <w:rsid w:val="00C0792C"/>
    <w:rsid w:val="00C1151F"/>
    <w:rsid w:val="00C118B3"/>
    <w:rsid w:val="00C12278"/>
    <w:rsid w:val="00C12882"/>
    <w:rsid w:val="00C130DD"/>
    <w:rsid w:val="00C13640"/>
    <w:rsid w:val="00C140FE"/>
    <w:rsid w:val="00C14742"/>
    <w:rsid w:val="00C147EA"/>
    <w:rsid w:val="00C14F22"/>
    <w:rsid w:val="00C15D91"/>
    <w:rsid w:val="00C16716"/>
    <w:rsid w:val="00C169F7"/>
    <w:rsid w:val="00C16AF6"/>
    <w:rsid w:val="00C171ED"/>
    <w:rsid w:val="00C20097"/>
    <w:rsid w:val="00C202C5"/>
    <w:rsid w:val="00C20490"/>
    <w:rsid w:val="00C21672"/>
    <w:rsid w:val="00C22720"/>
    <w:rsid w:val="00C22BFF"/>
    <w:rsid w:val="00C234EA"/>
    <w:rsid w:val="00C23ACE"/>
    <w:rsid w:val="00C23D66"/>
    <w:rsid w:val="00C243BD"/>
    <w:rsid w:val="00C245D5"/>
    <w:rsid w:val="00C24F68"/>
    <w:rsid w:val="00C25EE9"/>
    <w:rsid w:val="00C263C3"/>
    <w:rsid w:val="00C272DC"/>
    <w:rsid w:val="00C31CEB"/>
    <w:rsid w:val="00C31E2C"/>
    <w:rsid w:val="00C321DD"/>
    <w:rsid w:val="00C33E5F"/>
    <w:rsid w:val="00C34C87"/>
    <w:rsid w:val="00C354EF"/>
    <w:rsid w:val="00C36165"/>
    <w:rsid w:val="00C36DC5"/>
    <w:rsid w:val="00C3722A"/>
    <w:rsid w:val="00C37B12"/>
    <w:rsid w:val="00C4025D"/>
    <w:rsid w:val="00C40ACC"/>
    <w:rsid w:val="00C40B71"/>
    <w:rsid w:val="00C41386"/>
    <w:rsid w:val="00C41ED1"/>
    <w:rsid w:val="00C423D9"/>
    <w:rsid w:val="00C42595"/>
    <w:rsid w:val="00C43146"/>
    <w:rsid w:val="00C43A13"/>
    <w:rsid w:val="00C43FC7"/>
    <w:rsid w:val="00C44C20"/>
    <w:rsid w:val="00C47105"/>
    <w:rsid w:val="00C47252"/>
    <w:rsid w:val="00C52A37"/>
    <w:rsid w:val="00C536C6"/>
    <w:rsid w:val="00C54C85"/>
    <w:rsid w:val="00C56CAA"/>
    <w:rsid w:val="00C56D8F"/>
    <w:rsid w:val="00C57A1F"/>
    <w:rsid w:val="00C601E9"/>
    <w:rsid w:val="00C60969"/>
    <w:rsid w:val="00C60B17"/>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404"/>
    <w:rsid w:val="00C815DC"/>
    <w:rsid w:val="00C8175A"/>
    <w:rsid w:val="00C81B61"/>
    <w:rsid w:val="00C828E0"/>
    <w:rsid w:val="00C84365"/>
    <w:rsid w:val="00C84B22"/>
    <w:rsid w:val="00C84C70"/>
    <w:rsid w:val="00C85A89"/>
    <w:rsid w:val="00C86AD1"/>
    <w:rsid w:val="00C87839"/>
    <w:rsid w:val="00C87AAD"/>
    <w:rsid w:val="00C905FF"/>
    <w:rsid w:val="00C90C5D"/>
    <w:rsid w:val="00C91467"/>
    <w:rsid w:val="00C914F5"/>
    <w:rsid w:val="00C919D3"/>
    <w:rsid w:val="00C9260A"/>
    <w:rsid w:val="00C93DCC"/>
    <w:rsid w:val="00C947E4"/>
    <w:rsid w:val="00C9530E"/>
    <w:rsid w:val="00C95C0C"/>
    <w:rsid w:val="00CA05A0"/>
    <w:rsid w:val="00CA0978"/>
    <w:rsid w:val="00CA15E3"/>
    <w:rsid w:val="00CA1D9F"/>
    <w:rsid w:val="00CA208A"/>
    <w:rsid w:val="00CA2B28"/>
    <w:rsid w:val="00CA3062"/>
    <w:rsid w:val="00CA31E6"/>
    <w:rsid w:val="00CA5B27"/>
    <w:rsid w:val="00CA61A2"/>
    <w:rsid w:val="00CA69E5"/>
    <w:rsid w:val="00CA7AD1"/>
    <w:rsid w:val="00CB001F"/>
    <w:rsid w:val="00CB1FEB"/>
    <w:rsid w:val="00CB2771"/>
    <w:rsid w:val="00CB2AB1"/>
    <w:rsid w:val="00CB392E"/>
    <w:rsid w:val="00CB72E5"/>
    <w:rsid w:val="00CB7D8F"/>
    <w:rsid w:val="00CC1C78"/>
    <w:rsid w:val="00CC2FD9"/>
    <w:rsid w:val="00CC35E2"/>
    <w:rsid w:val="00CC3B58"/>
    <w:rsid w:val="00CC3CF1"/>
    <w:rsid w:val="00CC4070"/>
    <w:rsid w:val="00CC467B"/>
    <w:rsid w:val="00CC4DF5"/>
    <w:rsid w:val="00CC55A5"/>
    <w:rsid w:val="00CC6393"/>
    <w:rsid w:val="00CC63F6"/>
    <w:rsid w:val="00CC6F89"/>
    <w:rsid w:val="00CD0138"/>
    <w:rsid w:val="00CD0992"/>
    <w:rsid w:val="00CD0C2E"/>
    <w:rsid w:val="00CD1302"/>
    <w:rsid w:val="00CD1F7D"/>
    <w:rsid w:val="00CD25D8"/>
    <w:rsid w:val="00CD28F1"/>
    <w:rsid w:val="00CD344D"/>
    <w:rsid w:val="00CD38B5"/>
    <w:rsid w:val="00CD4E3C"/>
    <w:rsid w:val="00CD5076"/>
    <w:rsid w:val="00CD5218"/>
    <w:rsid w:val="00CD654F"/>
    <w:rsid w:val="00CD667F"/>
    <w:rsid w:val="00CE14E4"/>
    <w:rsid w:val="00CE17AA"/>
    <w:rsid w:val="00CE3232"/>
    <w:rsid w:val="00CE3A29"/>
    <w:rsid w:val="00CE4585"/>
    <w:rsid w:val="00CE4FA6"/>
    <w:rsid w:val="00CE56E1"/>
    <w:rsid w:val="00CE6987"/>
    <w:rsid w:val="00CF2541"/>
    <w:rsid w:val="00CF2D20"/>
    <w:rsid w:val="00CF2D9C"/>
    <w:rsid w:val="00CF3482"/>
    <w:rsid w:val="00CF3F5D"/>
    <w:rsid w:val="00CF592B"/>
    <w:rsid w:val="00CF5BD9"/>
    <w:rsid w:val="00CF6ACC"/>
    <w:rsid w:val="00CF6DD1"/>
    <w:rsid w:val="00D00000"/>
    <w:rsid w:val="00D02400"/>
    <w:rsid w:val="00D032B8"/>
    <w:rsid w:val="00D05D62"/>
    <w:rsid w:val="00D06414"/>
    <w:rsid w:val="00D067FC"/>
    <w:rsid w:val="00D06840"/>
    <w:rsid w:val="00D06C4A"/>
    <w:rsid w:val="00D12BD3"/>
    <w:rsid w:val="00D15E40"/>
    <w:rsid w:val="00D16BCD"/>
    <w:rsid w:val="00D16BFC"/>
    <w:rsid w:val="00D17E9E"/>
    <w:rsid w:val="00D210C4"/>
    <w:rsid w:val="00D2168C"/>
    <w:rsid w:val="00D22192"/>
    <w:rsid w:val="00D25CD8"/>
    <w:rsid w:val="00D26D81"/>
    <w:rsid w:val="00D279F1"/>
    <w:rsid w:val="00D27C03"/>
    <w:rsid w:val="00D319E5"/>
    <w:rsid w:val="00D322C2"/>
    <w:rsid w:val="00D32A41"/>
    <w:rsid w:val="00D32EB2"/>
    <w:rsid w:val="00D34427"/>
    <w:rsid w:val="00D34CB7"/>
    <w:rsid w:val="00D34D07"/>
    <w:rsid w:val="00D34FB0"/>
    <w:rsid w:val="00D35381"/>
    <w:rsid w:val="00D357B7"/>
    <w:rsid w:val="00D36581"/>
    <w:rsid w:val="00D36ED4"/>
    <w:rsid w:val="00D37C84"/>
    <w:rsid w:val="00D4041B"/>
    <w:rsid w:val="00D40C6D"/>
    <w:rsid w:val="00D410C8"/>
    <w:rsid w:val="00D45400"/>
    <w:rsid w:val="00D45F67"/>
    <w:rsid w:val="00D46ACE"/>
    <w:rsid w:val="00D46E4B"/>
    <w:rsid w:val="00D50A5C"/>
    <w:rsid w:val="00D522F7"/>
    <w:rsid w:val="00D53480"/>
    <w:rsid w:val="00D53DFB"/>
    <w:rsid w:val="00D54153"/>
    <w:rsid w:val="00D54D41"/>
    <w:rsid w:val="00D54DCA"/>
    <w:rsid w:val="00D550C6"/>
    <w:rsid w:val="00D55C61"/>
    <w:rsid w:val="00D565A7"/>
    <w:rsid w:val="00D56E37"/>
    <w:rsid w:val="00D5780A"/>
    <w:rsid w:val="00D57984"/>
    <w:rsid w:val="00D57E57"/>
    <w:rsid w:val="00D608D1"/>
    <w:rsid w:val="00D618EA"/>
    <w:rsid w:val="00D6224E"/>
    <w:rsid w:val="00D6318C"/>
    <w:rsid w:val="00D63258"/>
    <w:rsid w:val="00D64A42"/>
    <w:rsid w:val="00D64DAA"/>
    <w:rsid w:val="00D64EFD"/>
    <w:rsid w:val="00D64FA4"/>
    <w:rsid w:val="00D65666"/>
    <w:rsid w:val="00D67261"/>
    <w:rsid w:val="00D673E6"/>
    <w:rsid w:val="00D676E0"/>
    <w:rsid w:val="00D70B2F"/>
    <w:rsid w:val="00D70D31"/>
    <w:rsid w:val="00D70DE4"/>
    <w:rsid w:val="00D7213D"/>
    <w:rsid w:val="00D72658"/>
    <w:rsid w:val="00D72916"/>
    <w:rsid w:val="00D744FF"/>
    <w:rsid w:val="00D74F33"/>
    <w:rsid w:val="00D75D73"/>
    <w:rsid w:val="00D7687F"/>
    <w:rsid w:val="00D807C9"/>
    <w:rsid w:val="00D80835"/>
    <w:rsid w:val="00D82FEB"/>
    <w:rsid w:val="00D83D60"/>
    <w:rsid w:val="00D841E6"/>
    <w:rsid w:val="00D842D4"/>
    <w:rsid w:val="00D84487"/>
    <w:rsid w:val="00D84667"/>
    <w:rsid w:val="00D84BEE"/>
    <w:rsid w:val="00D86118"/>
    <w:rsid w:val="00D873CB"/>
    <w:rsid w:val="00D879A7"/>
    <w:rsid w:val="00D87EE8"/>
    <w:rsid w:val="00D90DAC"/>
    <w:rsid w:val="00D91BC3"/>
    <w:rsid w:val="00D92D51"/>
    <w:rsid w:val="00D935E9"/>
    <w:rsid w:val="00D93F42"/>
    <w:rsid w:val="00D95B75"/>
    <w:rsid w:val="00D96CD7"/>
    <w:rsid w:val="00D97519"/>
    <w:rsid w:val="00DA00AB"/>
    <w:rsid w:val="00DA0BDF"/>
    <w:rsid w:val="00DA1B96"/>
    <w:rsid w:val="00DA243F"/>
    <w:rsid w:val="00DA2C17"/>
    <w:rsid w:val="00DA3674"/>
    <w:rsid w:val="00DA3C79"/>
    <w:rsid w:val="00DA4CF4"/>
    <w:rsid w:val="00DA542A"/>
    <w:rsid w:val="00DA5891"/>
    <w:rsid w:val="00DA5B79"/>
    <w:rsid w:val="00DA604A"/>
    <w:rsid w:val="00DA6A90"/>
    <w:rsid w:val="00DA70A8"/>
    <w:rsid w:val="00DA73D2"/>
    <w:rsid w:val="00DA795B"/>
    <w:rsid w:val="00DA7C94"/>
    <w:rsid w:val="00DB146E"/>
    <w:rsid w:val="00DB2BAD"/>
    <w:rsid w:val="00DB56F3"/>
    <w:rsid w:val="00DB5A59"/>
    <w:rsid w:val="00DB6F16"/>
    <w:rsid w:val="00DC225C"/>
    <w:rsid w:val="00DC2717"/>
    <w:rsid w:val="00DC2FC0"/>
    <w:rsid w:val="00DC38D5"/>
    <w:rsid w:val="00DC4FFA"/>
    <w:rsid w:val="00DC508C"/>
    <w:rsid w:val="00DC5C92"/>
    <w:rsid w:val="00DC62CE"/>
    <w:rsid w:val="00DC6486"/>
    <w:rsid w:val="00DC7551"/>
    <w:rsid w:val="00DD01BC"/>
    <w:rsid w:val="00DD0E50"/>
    <w:rsid w:val="00DD125A"/>
    <w:rsid w:val="00DD14F8"/>
    <w:rsid w:val="00DD1AB1"/>
    <w:rsid w:val="00DD1EC2"/>
    <w:rsid w:val="00DD417D"/>
    <w:rsid w:val="00DD5502"/>
    <w:rsid w:val="00DD589D"/>
    <w:rsid w:val="00DD6316"/>
    <w:rsid w:val="00DD6B33"/>
    <w:rsid w:val="00DD6ED8"/>
    <w:rsid w:val="00DE00D7"/>
    <w:rsid w:val="00DE08DC"/>
    <w:rsid w:val="00DE099D"/>
    <w:rsid w:val="00DE18F3"/>
    <w:rsid w:val="00DE1B16"/>
    <w:rsid w:val="00DE1E5B"/>
    <w:rsid w:val="00DE225D"/>
    <w:rsid w:val="00DE2506"/>
    <w:rsid w:val="00DE31D1"/>
    <w:rsid w:val="00DE4A93"/>
    <w:rsid w:val="00DE4D1E"/>
    <w:rsid w:val="00DE52FA"/>
    <w:rsid w:val="00DE5569"/>
    <w:rsid w:val="00DE5F80"/>
    <w:rsid w:val="00DE6971"/>
    <w:rsid w:val="00DE7196"/>
    <w:rsid w:val="00DE743D"/>
    <w:rsid w:val="00DE745F"/>
    <w:rsid w:val="00DE74E1"/>
    <w:rsid w:val="00DF01FF"/>
    <w:rsid w:val="00DF0836"/>
    <w:rsid w:val="00DF0A5C"/>
    <w:rsid w:val="00DF150E"/>
    <w:rsid w:val="00DF1570"/>
    <w:rsid w:val="00DF17FA"/>
    <w:rsid w:val="00DF439C"/>
    <w:rsid w:val="00DF58D3"/>
    <w:rsid w:val="00DF5A56"/>
    <w:rsid w:val="00DF5B31"/>
    <w:rsid w:val="00DF6BA5"/>
    <w:rsid w:val="00DF719E"/>
    <w:rsid w:val="00DF7F5F"/>
    <w:rsid w:val="00E00E41"/>
    <w:rsid w:val="00E01422"/>
    <w:rsid w:val="00E01AC3"/>
    <w:rsid w:val="00E01BDF"/>
    <w:rsid w:val="00E01F29"/>
    <w:rsid w:val="00E0233F"/>
    <w:rsid w:val="00E02B27"/>
    <w:rsid w:val="00E04292"/>
    <w:rsid w:val="00E05E7A"/>
    <w:rsid w:val="00E06A2C"/>
    <w:rsid w:val="00E070C6"/>
    <w:rsid w:val="00E07716"/>
    <w:rsid w:val="00E1018A"/>
    <w:rsid w:val="00E1058A"/>
    <w:rsid w:val="00E123A8"/>
    <w:rsid w:val="00E12577"/>
    <w:rsid w:val="00E13679"/>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83D"/>
    <w:rsid w:val="00E24E99"/>
    <w:rsid w:val="00E2645E"/>
    <w:rsid w:val="00E26E3A"/>
    <w:rsid w:val="00E272ED"/>
    <w:rsid w:val="00E27E41"/>
    <w:rsid w:val="00E27F41"/>
    <w:rsid w:val="00E32CED"/>
    <w:rsid w:val="00E33D22"/>
    <w:rsid w:val="00E34B87"/>
    <w:rsid w:val="00E37B91"/>
    <w:rsid w:val="00E4032F"/>
    <w:rsid w:val="00E42776"/>
    <w:rsid w:val="00E42BDF"/>
    <w:rsid w:val="00E437CD"/>
    <w:rsid w:val="00E457FE"/>
    <w:rsid w:val="00E45844"/>
    <w:rsid w:val="00E46176"/>
    <w:rsid w:val="00E469EC"/>
    <w:rsid w:val="00E46B69"/>
    <w:rsid w:val="00E50294"/>
    <w:rsid w:val="00E510D3"/>
    <w:rsid w:val="00E51187"/>
    <w:rsid w:val="00E517BA"/>
    <w:rsid w:val="00E52CF3"/>
    <w:rsid w:val="00E5322C"/>
    <w:rsid w:val="00E53391"/>
    <w:rsid w:val="00E53DC8"/>
    <w:rsid w:val="00E546D5"/>
    <w:rsid w:val="00E54E04"/>
    <w:rsid w:val="00E551DF"/>
    <w:rsid w:val="00E56D21"/>
    <w:rsid w:val="00E57080"/>
    <w:rsid w:val="00E60438"/>
    <w:rsid w:val="00E6074F"/>
    <w:rsid w:val="00E61908"/>
    <w:rsid w:val="00E62AB6"/>
    <w:rsid w:val="00E62C00"/>
    <w:rsid w:val="00E63D1F"/>
    <w:rsid w:val="00E63E18"/>
    <w:rsid w:val="00E64863"/>
    <w:rsid w:val="00E66A6D"/>
    <w:rsid w:val="00E70009"/>
    <w:rsid w:val="00E7071D"/>
    <w:rsid w:val="00E71BE3"/>
    <w:rsid w:val="00E72DE8"/>
    <w:rsid w:val="00E7310E"/>
    <w:rsid w:val="00E738C8"/>
    <w:rsid w:val="00E73E7B"/>
    <w:rsid w:val="00E7418C"/>
    <w:rsid w:val="00E74666"/>
    <w:rsid w:val="00E74744"/>
    <w:rsid w:val="00E76164"/>
    <w:rsid w:val="00E76670"/>
    <w:rsid w:val="00E76A4D"/>
    <w:rsid w:val="00E76E42"/>
    <w:rsid w:val="00E770A7"/>
    <w:rsid w:val="00E80809"/>
    <w:rsid w:val="00E81624"/>
    <w:rsid w:val="00E81C66"/>
    <w:rsid w:val="00E83A4D"/>
    <w:rsid w:val="00E84C8C"/>
    <w:rsid w:val="00E900FE"/>
    <w:rsid w:val="00E90503"/>
    <w:rsid w:val="00E9257D"/>
    <w:rsid w:val="00E93D53"/>
    <w:rsid w:val="00E945AE"/>
    <w:rsid w:val="00E94E49"/>
    <w:rsid w:val="00E95184"/>
    <w:rsid w:val="00E955BD"/>
    <w:rsid w:val="00E96562"/>
    <w:rsid w:val="00E966D4"/>
    <w:rsid w:val="00E967A9"/>
    <w:rsid w:val="00E973F3"/>
    <w:rsid w:val="00EA06E5"/>
    <w:rsid w:val="00EA12EC"/>
    <w:rsid w:val="00EA1612"/>
    <w:rsid w:val="00EA2BDE"/>
    <w:rsid w:val="00EA2E6F"/>
    <w:rsid w:val="00EA46DE"/>
    <w:rsid w:val="00EA51D2"/>
    <w:rsid w:val="00EA6620"/>
    <w:rsid w:val="00EA70EF"/>
    <w:rsid w:val="00EA773D"/>
    <w:rsid w:val="00EA7953"/>
    <w:rsid w:val="00EB06BF"/>
    <w:rsid w:val="00EB10D6"/>
    <w:rsid w:val="00EB1C97"/>
    <w:rsid w:val="00EB1F8E"/>
    <w:rsid w:val="00EB2276"/>
    <w:rsid w:val="00EB3670"/>
    <w:rsid w:val="00EB4075"/>
    <w:rsid w:val="00EB467F"/>
    <w:rsid w:val="00EB49E8"/>
    <w:rsid w:val="00EB6C54"/>
    <w:rsid w:val="00EB742E"/>
    <w:rsid w:val="00EC0654"/>
    <w:rsid w:val="00EC43AA"/>
    <w:rsid w:val="00EC5C49"/>
    <w:rsid w:val="00EC61E1"/>
    <w:rsid w:val="00EC620F"/>
    <w:rsid w:val="00EC6426"/>
    <w:rsid w:val="00EC6F51"/>
    <w:rsid w:val="00ED14CD"/>
    <w:rsid w:val="00ED291D"/>
    <w:rsid w:val="00ED2D86"/>
    <w:rsid w:val="00ED3142"/>
    <w:rsid w:val="00ED48BB"/>
    <w:rsid w:val="00ED4D8C"/>
    <w:rsid w:val="00ED691A"/>
    <w:rsid w:val="00EE01B5"/>
    <w:rsid w:val="00EE0BEF"/>
    <w:rsid w:val="00EE0EB2"/>
    <w:rsid w:val="00EE15BE"/>
    <w:rsid w:val="00EE1AAA"/>
    <w:rsid w:val="00EE2AB0"/>
    <w:rsid w:val="00EE2C12"/>
    <w:rsid w:val="00EE629A"/>
    <w:rsid w:val="00EE6853"/>
    <w:rsid w:val="00EE69C6"/>
    <w:rsid w:val="00EE6C0E"/>
    <w:rsid w:val="00EF089D"/>
    <w:rsid w:val="00EF0962"/>
    <w:rsid w:val="00EF0CB4"/>
    <w:rsid w:val="00EF1BA7"/>
    <w:rsid w:val="00EF38CE"/>
    <w:rsid w:val="00EF3B0E"/>
    <w:rsid w:val="00EF3CF3"/>
    <w:rsid w:val="00EF5282"/>
    <w:rsid w:val="00EF5BD2"/>
    <w:rsid w:val="00EF654A"/>
    <w:rsid w:val="00EF6909"/>
    <w:rsid w:val="00EF7188"/>
    <w:rsid w:val="00EF7589"/>
    <w:rsid w:val="00EF76CE"/>
    <w:rsid w:val="00EF7DB8"/>
    <w:rsid w:val="00F00702"/>
    <w:rsid w:val="00F00E55"/>
    <w:rsid w:val="00F022A4"/>
    <w:rsid w:val="00F023AB"/>
    <w:rsid w:val="00F03000"/>
    <w:rsid w:val="00F0373B"/>
    <w:rsid w:val="00F03A3C"/>
    <w:rsid w:val="00F0627D"/>
    <w:rsid w:val="00F06DC3"/>
    <w:rsid w:val="00F07005"/>
    <w:rsid w:val="00F079AA"/>
    <w:rsid w:val="00F10131"/>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6655"/>
    <w:rsid w:val="00F275E5"/>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38F9"/>
    <w:rsid w:val="00F45974"/>
    <w:rsid w:val="00F45FB5"/>
    <w:rsid w:val="00F4668B"/>
    <w:rsid w:val="00F46EB6"/>
    <w:rsid w:val="00F474EE"/>
    <w:rsid w:val="00F519F1"/>
    <w:rsid w:val="00F54CA0"/>
    <w:rsid w:val="00F55710"/>
    <w:rsid w:val="00F56184"/>
    <w:rsid w:val="00F567F5"/>
    <w:rsid w:val="00F579E4"/>
    <w:rsid w:val="00F57C04"/>
    <w:rsid w:val="00F6055B"/>
    <w:rsid w:val="00F607D0"/>
    <w:rsid w:val="00F60F42"/>
    <w:rsid w:val="00F6247B"/>
    <w:rsid w:val="00F63037"/>
    <w:rsid w:val="00F644DE"/>
    <w:rsid w:val="00F649F0"/>
    <w:rsid w:val="00F64F36"/>
    <w:rsid w:val="00F710EF"/>
    <w:rsid w:val="00F71E11"/>
    <w:rsid w:val="00F721B8"/>
    <w:rsid w:val="00F72467"/>
    <w:rsid w:val="00F72A73"/>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55C9"/>
    <w:rsid w:val="00F97136"/>
    <w:rsid w:val="00F97D38"/>
    <w:rsid w:val="00F97F67"/>
    <w:rsid w:val="00FA1E01"/>
    <w:rsid w:val="00FA29E9"/>
    <w:rsid w:val="00FA38D1"/>
    <w:rsid w:val="00FA418C"/>
    <w:rsid w:val="00FA58B7"/>
    <w:rsid w:val="00FA60CB"/>
    <w:rsid w:val="00FA6608"/>
    <w:rsid w:val="00FA7D9F"/>
    <w:rsid w:val="00FB097F"/>
    <w:rsid w:val="00FB0B1D"/>
    <w:rsid w:val="00FB143B"/>
    <w:rsid w:val="00FB2F9A"/>
    <w:rsid w:val="00FB7150"/>
    <w:rsid w:val="00FB7479"/>
    <w:rsid w:val="00FC016A"/>
    <w:rsid w:val="00FC0B78"/>
    <w:rsid w:val="00FC19C5"/>
    <w:rsid w:val="00FC3A84"/>
    <w:rsid w:val="00FC4778"/>
    <w:rsid w:val="00FC48A4"/>
    <w:rsid w:val="00FC53E9"/>
    <w:rsid w:val="00FC576B"/>
    <w:rsid w:val="00FC5B41"/>
    <w:rsid w:val="00FC7DCD"/>
    <w:rsid w:val="00FD0867"/>
    <w:rsid w:val="00FD0ADA"/>
    <w:rsid w:val="00FD15B7"/>
    <w:rsid w:val="00FD1D35"/>
    <w:rsid w:val="00FD21EE"/>
    <w:rsid w:val="00FD559D"/>
    <w:rsid w:val="00FD5664"/>
    <w:rsid w:val="00FD5AD6"/>
    <w:rsid w:val="00FD6EF7"/>
    <w:rsid w:val="00FD6FA7"/>
    <w:rsid w:val="00FE0DB8"/>
    <w:rsid w:val="00FE0E60"/>
    <w:rsid w:val="00FE27B4"/>
    <w:rsid w:val="00FE2B4C"/>
    <w:rsid w:val="00FE2E8B"/>
    <w:rsid w:val="00FE34A1"/>
    <w:rsid w:val="00FE3C7B"/>
    <w:rsid w:val="00FE44DF"/>
    <w:rsid w:val="00FE46F0"/>
    <w:rsid w:val="00FE55C2"/>
    <w:rsid w:val="00FE6B9E"/>
    <w:rsid w:val="00FE6DBB"/>
    <w:rsid w:val="00FE7040"/>
    <w:rsid w:val="00FE7C2F"/>
    <w:rsid w:val="00FF16D8"/>
    <w:rsid w:val="00FF29F1"/>
    <w:rsid w:val="00FF5A94"/>
    <w:rsid w:val="00FF5E7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C055E69"/>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6F24D-54E5-4CD2-892D-96491B42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5887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crea 850 nuevos puestos de trabajo e invierte en la ampliación de la sede</dc:title>
  <dc:creator>Wohlfarth Andrea</dc:creator>
  <cp:keywords>TGW crea 850 nuevos puestos de trabajo e invierte en la ampliación de la sede</cp:keywords>
  <cp:lastModifiedBy>Tahedl Alexander</cp:lastModifiedBy>
  <cp:revision>701</cp:revision>
  <cp:lastPrinted>2020-09-07T05:28:00Z</cp:lastPrinted>
  <dcterms:created xsi:type="dcterms:W3CDTF">2020-08-19T07:59:00Z</dcterms:created>
  <dcterms:modified xsi:type="dcterms:W3CDTF">2021-09-22T12:53:00Z</dcterms:modified>
</cp:coreProperties>
</file>