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ADE31" w14:textId="77777777" w:rsidR="00FC0E20" w:rsidRDefault="00FC0E20" w:rsidP="00E20D35">
      <w:pPr>
        <w:spacing w:line="360" w:lineRule="auto"/>
        <w:ind w:left="0" w:right="1843"/>
        <w:jc w:val="left"/>
        <w:rPr>
          <w:rFonts w:cs="Arial"/>
          <w:b/>
          <w:sz w:val="28"/>
          <w:szCs w:val="28"/>
        </w:rPr>
      </w:pPr>
    </w:p>
    <w:p w14:paraId="6A35DC10" w14:textId="19DAC74C" w:rsidR="00835318" w:rsidRPr="00BB6ED0" w:rsidRDefault="00835318" w:rsidP="00835318">
      <w:pPr>
        <w:pStyle w:val="berschrift1"/>
        <w:numPr>
          <w:ilvl w:val="0"/>
          <w:numId w:val="0"/>
        </w:numPr>
        <w:ind w:left="851" w:hanging="851"/>
        <w:rPr>
          <w:sz w:val="28"/>
          <w:szCs w:val="28"/>
        </w:rPr>
      </w:pPr>
      <w:r w:rsidRPr="00BB6ED0">
        <w:rPr>
          <w:sz w:val="28"/>
          <w:szCs w:val="28"/>
        </w:rPr>
        <w:t xml:space="preserve">Interdiscount y </w:t>
      </w:r>
      <w:proofErr w:type="spellStart"/>
      <w:r w:rsidRPr="00BB6ED0">
        <w:rPr>
          <w:sz w:val="28"/>
          <w:szCs w:val="28"/>
        </w:rPr>
        <w:t>Mic</w:t>
      </w:r>
      <w:r w:rsidR="00A342FC">
        <w:rPr>
          <w:sz w:val="28"/>
          <w:szCs w:val="28"/>
        </w:rPr>
        <w:t>rospot</w:t>
      </w:r>
      <w:proofErr w:type="spellEnd"/>
      <w:r w:rsidR="00A342FC">
        <w:rPr>
          <w:sz w:val="28"/>
          <w:szCs w:val="28"/>
        </w:rPr>
        <w:t xml:space="preserve"> en </w:t>
      </w:r>
      <w:proofErr w:type="spellStart"/>
      <w:r w:rsidR="00A342FC">
        <w:rPr>
          <w:sz w:val="28"/>
          <w:szCs w:val="28"/>
        </w:rPr>
        <w:t>vías</w:t>
      </w:r>
      <w:proofErr w:type="spellEnd"/>
      <w:r w:rsidR="00A342FC">
        <w:rPr>
          <w:sz w:val="28"/>
          <w:szCs w:val="28"/>
        </w:rPr>
        <w:t xml:space="preserve"> de </w:t>
      </w:r>
      <w:proofErr w:type="spellStart"/>
      <w:r w:rsidR="00A342FC">
        <w:rPr>
          <w:sz w:val="28"/>
          <w:szCs w:val="28"/>
        </w:rPr>
        <w:t>crecimiento</w:t>
      </w:r>
      <w:proofErr w:type="spellEnd"/>
    </w:p>
    <w:p w14:paraId="2F4838C4" w14:textId="4E4FE816" w:rsidR="00835318" w:rsidRDefault="00835318" w:rsidP="00835318">
      <w:pPr>
        <w:pStyle w:val="berschrift1"/>
        <w:numPr>
          <w:ilvl w:val="0"/>
          <w:numId w:val="0"/>
        </w:numPr>
        <w:ind w:left="851" w:hanging="851"/>
      </w:pPr>
      <w:r w:rsidRPr="00BB6ED0">
        <w:rPr>
          <w:sz w:val="28"/>
          <w:szCs w:val="28"/>
        </w:rPr>
        <w:t xml:space="preserve">TGW </w:t>
      </w:r>
      <w:r w:rsidR="003E7F54">
        <w:rPr>
          <w:sz w:val="28"/>
          <w:szCs w:val="28"/>
        </w:rPr>
        <w:t xml:space="preserve">expande su Centro Logístico </w:t>
      </w:r>
      <w:proofErr w:type="spellStart"/>
      <w:r w:rsidR="003E7F54">
        <w:rPr>
          <w:sz w:val="28"/>
          <w:szCs w:val="28"/>
        </w:rPr>
        <w:t>Suizo</w:t>
      </w:r>
      <w:proofErr w:type="spellEnd"/>
      <w:r w:rsidRPr="00C26A73">
        <w:t xml:space="preserve"> </w:t>
      </w:r>
    </w:p>
    <w:p w14:paraId="00B680B6" w14:textId="77777777" w:rsidR="00835318" w:rsidRPr="00154C8D" w:rsidRDefault="00835318" w:rsidP="00835318"/>
    <w:p w14:paraId="747480DC" w14:textId="77777777" w:rsidR="00835318" w:rsidRPr="005B175C" w:rsidRDefault="00835318" w:rsidP="00835318">
      <w:pPr>
        <w:pStyle w:val="Textkrper"/>
        <w:jc w:val="both"/>
        <w:rPr>
          <w:rFonts w:ascii="Arial" w:hAnsi="Arial" w:cs="Arial"/>
          <w:sz w:val="20"/>
          <w:szCs w:val="20"/>
        </w:rPr>
      </w:pPr>
      <w:r w:rsidRPr="005B175C">
        <w:rPr>
          <w:rFonts w:ascii="Arial" w:hAnsi="Arial" w:cs="Arial"/>
          <w:sz w:val="20"/>
          <w:szCs w:val="20"/>
        </w:rPr>
        <w:t>Interdiscount es el líder en el mercado de electrodomésticos en Suiza. El experto en ventas minorista, el cual está buscando desarrollar substancialmente el negocio electrónico, se encuentra expandiendo su rango no alimentario en Microspot.ch a 260,000 productos diferentes. Con el propósito de preparar la intralogística de Interdiscount para estos nuevos retos, TGW ha construido un centro de di</w:t>
      </w:r>
      <w:bookmarkStart w:id="0" w:name="_GoBack"/>
      <w:bookmarkEnd w:id="0"/>
      <w:r w:rsidRPr="005B175C">
        <w:rPr>
          <w:rFonts w:ascii="Arial" w:hAnsi="Arial" w:cs="Arial"/>
          <w:sz w:val="20"/>
          <w:szCs w:val="20"/>
        </w:rPr>
        <w:t>stribución totalmente automatizado en Jegenstorf, Suiza; donde está ubicada la sede de la empresa. Luego de dos años y medio de tiempo de construcción, la gran ceremonia de apertura para la oficina central de última tecnología se llevó a cabo a finales de mayo 2018.</w:t>
      </w:r>
    </w:p>
    <w:p w14:paraId="34806159" w14:textId="77777777" w:rsidR="00835318" w:rsidRDefault="00835318" w:rsidP="00835318">
      <w:pPr>
        <w:pStyle w:val="Textkrper"/>
        <w:jc w:val="both"/>
      </w:pPr>
      <w:r w:rsidRPr="005B175C">
        <w:rPr>
          <w:rFonts w:ascii="Arial" w:hAnsi="Arial" w:cs="Arial"/>
          <w:sz w:val="20"/>
          <w:szCs w:val="20"/>
        </w:rPr>
        <w:t>Con aproximadamente 1.800 empleados, Interdiscount ha sido una división comercial del Grupo Coop desde 1996, vendiendo productos electrónicos de manera electrónica como también en más de 180 locaciones de tiendas. Microspot, la cual es parte de Coop, y a nivel organizacional, también forma parte de Interdiscount, es una plataforma electrónica la cual previamente vendía electrodomésticos a precio base. Ahora, un número creciente de artículos no alimenticios serán también ofertados vía electrónica. Con el objetivo de expandir el comercio electrónico y desarrollar una solución integrada multi-canal, la compañía ha invertido recientemente 70 millones en francos suizos, para la construcción de este nuevo almacén central totalmente automatizado.</w:t>
      </w:r>
      <w:r>
        <w:t xml:space="preserve"> </w:t>
      </w:r>
    </w:p>
    <w:p w14:paraId="3C23683A" w14:textId="58E41449" w:rsidR="00835318" w:rsidRPr="00BB6ED0" w:rsidRDefault="00835318" w:rsidP="00835318">
      <w:pPr>
        <w:pStyle w:val="berschrift1"/>
        <w:numPr>
          <w:ilvl w:val="0"/>
          <w:numId w:val="0"/>
        </w:numPr>
        <w:ind w:left="851" w:hanging="851"/>
        <w:rPr>
          <w:sz w:val="28"/>
          <w:szCs w:val="28"/>
        </w:rPr>
      </w:pPr>
      <w:proofErr w:type="spellStart"/>
      <w:r w:rsidRPr="00BB6ED0">
        <w:rPr>
          <w:sz w:val="28"/>
          <w:szCs w:val="28"/>
        </w:rPr>
        <w:t>Socio</w:t>
      </w:r>
      <w:proofErr w:type="spellEnd"/>
      <w:r w:rsidR="00A342FC">
        <w:rPr>
          <w:sz w:val="28"/>
          <w:szCs w:val="28"/>
        </w:rPr>
        <w:t xml:space="preserve"> </w:t>
      </w:r>
      <w:proofErr w:type="spellStart"/>
      <w:r w:rsidR="00A342FC">
        <w:rPr>
          <w:sz w:val="28"/>
          <w:szCs w:val="28"/>
        </w:rPr>
        <w:t>competente</w:t>
      </w:r>
      <w:proofErr w:type="spellEnd"/>
      <w:r w:rsidR="00A342FC">
        <w:rPr>
          <w:sz w:val="28"/>
          <w:szCs w:val="28"/>
        </w:rPr>
        <w:t xml:space="preserve">, </w:t>
      </w:r>
      <w:proofErr w:type="spellStart"/>
      <w:r w:rsidR="00A342FC">
        <w:rPr>
          <w:sz w:val="28"/>
          <w:szCs w:val="28"/>
        </w:rPr>
        <w:t>pocas</w:t>
      </w:r>
      <w:proofErr w:type="spellEnd"/>
      <w:r w:rsidR="00A342FC">
        <w:rPr>
          <w:sz w:val="28"/>
          <w:szCs w:val="28"/>
        </w:rPr>
        <w:t xml:space="preserve"> </w:t>
      </w:r>
      <w:proofErr w:type="spellStart"/>
      <w:r w:rsidR="00A342FC">
        <w:rPr>
          <w:sz w:val="28"/>
          <w:szCs w:val="28"/>
        </w:rPr>
        <w:t>Interfases</w:t>
      </w:r>
      <w:proofErr w:type="spellEnd"/>
    </w:p>
    <w:p w14:paraId="35624B31" w14:textId="51E95C42" w:rsidR="00835318" w:rsidRDefault="00835318" w:rsidP="00835318">
      <w:pPr>
        <w:ind w:left="0"/>
      </w:pPr>
      <w:r>
        <w:t>Pierre Wenger, El director Ejecutivo de Interdiscount y Microspot, junto con Harald Sc</w:t>
      </w:r>
      <w:r w:rsidRPr="00E53AAE">
        <w:t>hr</w:t>
      </w:r>
      <w:r w:rsidRPr="00E53AAE">
        <w:rPr>
          <w:rFonts w:cs="Arial"/>
        </w:rPr>
        <w:t>ö</w:t>
      </w:r>
      <w:r>
        <w:rPr>
          <w:rFonts w:cs="Arial"/>
        </w:rPr>
        <w:t xml:space="preserve">pf, </w:t>
      </w:r>
      <w:r>
        <w:t xml:space="preserve">director ejecutivo de TGW Logistics </w:t>
      </w:r>
      <w:r w:rsidR="00A342FC">
        <w:t xml:space="preserve">Group, y Joos Sutter, </w:t>
      </w:r>
      <w:proofErr w:type="spellStart"/>
      <w:r w:rsidR="00A342FC">
        <w:t>director</w:t>
      </w:r>
      <w:proofErr w:type="spellEnd"/>
      <w:r w:rsidR="00A342FC">
        <w:t xml:space="preserve"> </w:t>
      </w:r>
      <w:r>
        <w:t xml:space="preserve">de la </w:t>
      </w:r>
      <w:proofErr w:type="spellStart"/>
      <w:r>
        <w:t>junta</w:t>
      </w:r>
      <w:proofErr w:type="spellEnd"/>
      <w:r>
        <w:t xml:space="preserve"> </w:t>
      </w:r>
      <w:proofErr w:type="spellStart"/>
      <w:r>
        <w:t>ejecutiva</w:t>
      </w:r>
      <w:proofErr w:type="spellEnd"/>
      <w:r>
        <w:t xml:space="preserve"> de Coop, junto con Daniel Hintermann, Jefe de Logística, asistieron a la puesta en marcha del centro logístico. “Queríamos una solución de una única fuente con un socio competente y con la menor cantidad de interfaces posibles. TGW parecía predestinada para esta tarea. Es impresionante lo profesional y tranquilo que transcurrió todo”, comentó un muy satisfecho Pierre Wenger. </w:t>
      </w:r>
    </w:p>
    <w:p w14:paraId="773E0AD3" w14:textId="77777777" w:rsidR="00835318" w:rsidRDefault="00835318" w:rsidP="00835318">
      <w:pPr>
        <w:ind w:left="0"/>
      </w:pPr>
    </w:p>
    <w:p w14:paraId="16EB73A4" w14:textId="6AEF3D00" w:rsidR="00835318" w:rsidRPr="00E53AAE" w:rsidRDefault="00835318" w:rsidP="00835318">
      <w:pPr>
        <w:ind w:left="0"/>
      </w:pPr>
      <w:r>
        <w:t>El edificio existente fue conectado al nuevo edificio por medio de una sala pasillo. La estantería alta funciona como un almacén de suministro para el almacén de shuttle en el nuevo edificio de 22,000 m2. Un sistema combinado de transportadores gestionará el traslado eficiente de las europaletas</w:t>
      </w:r>
      <w:r w:rsidR="00A342FC">
        <w:t xml:space="preserve"> y </w:t>
      </w:r>
      <w:proofErr w:type="spellStart"/>
      <w:r w:rsidR="00A342FC">
        <w:t>contenedores</w:t>
      </w:r>
      <w:proofErr w:type="spellEnd"/>
      <w:r w:rsidR="00A342FC">
        <w:t xml:space="preserve"> de </w:t>
      </w:r>
      <w:proofErr w:type="spellStart"/>
      <w:r w:rsidR="00A342FC">
        <w:t>rodillos</w:t>
      </w:r>
      <w:proofErr w:type="spellEnd"/>
      <w:r w:rsidR="00A342FC">
        <w:t>.</w:t>
      </w:r>
    </w:p>
    <w:p w14:paraId="263A3D34" w14:textId="347D16EB" w:rsidR="00F614E0" w:rsidRDefault="00F614E0" w:rsidP="00835318">
      <w:pPr>
        <w:ind w:left="0"/>
        <w:rPr>
          <w:rFonts w:eastAsiaTheme="majorEastAsia" w:cstheme="majorBidi"/>
          <w:b/>
          <w:color w:val="000000" w:themeColor="text1"/>
          <w:sz w:val="28"/>
          <w:szCs w:val="28"/>
        </w:rPr>
      </w:pPr>
    </w:p>
    <w:p w14:paraId="3DE501A6" w14:textId="0D64FAAF" w:rsidR="00A342FC" w:rsidRDefault="00A342FC" w:rsidP="00835318">
      <w:pPr>
        <w:ind w:left="0"/>
        <w:rPr>
          <w:rFonts w:eastAsiaTheme="majorEastAsia" w:cstheme="majorBidi"/>
          <w:b/>
          <w:color w:val="000000" w:themeColor="text1"/>
          <w:sz w:val="28"/>
          <w:szCs w:val="28"/>
        </w:rPr>
      </w:pPr>
    </w:p>
    <w:p w14:paraId="75F1D454" w14:textId="3AC46D90" w:rsidR="00A342FC" w:rsidRDefault="00A342FC" w:rsidP="00835318">
      <w:pPr>
        <w:ind w:left="0"/>
        <w:rPr>
          <w:rFonts w:eastAsiaTheme="majorEastAsia" w:cstheme="majorBidi"/>
          <w:b/>
          <w:color w:val="000000" w:themeColor="text1"/>
          <w:sz w:val="28"/>
          <w:szCs w:val="28"/>
        </w:rPr>
      </w:pPr>
    </w:p>
    <w:p w14:paraId="1CABFBB1" w14:textId="77777777" w:rsidR="00A342FC" w:rsidRDefault="00A342FC" w:rsidP="00835318">
      <w:pPr>
        <w:ind w:left="0"/>
        <w:rPr>
          <w:rFonts w:eastAsiaTheme="majorEastAsia" w:cstheme="majorBidi"/>
          <w:b/>
          <w:color w:val="000000" w:themeColor="text1"/>
          <w:sz w:val="28"/>
          <w:szCs w:val="28"/>
        </w:rPr>
      </w:pPr>
    </w:p>
    <w:p w14:paraId="61C01013" w14:textId="6F81EB6C" w:rsidR="00835318" w:rsidRPr="00BB6ED0" w:rsidRDefault="00835318" w:rsidP="00835318">
      <w:pPr>
        <w:ind w:left="0"/>
        <w:rPr>
          <w:rFonts w:eastAsiaTheme="majorEastAsia" w:cstheme="majorBidi"/>
          <w:b/>
          <w:color w:val="000000" w:themeColor="text1"/>
          <w:sz w:val="28"/>
          <w:szCs w:val="28"/>
        </w:rPr>
      </w:pPr>
      <w:r w:rsidRPr="00BB6ED0">
        <w:rPr>
          <w:rFonts w:eastAsiaTheme="majorEastAsia" w:cstheme="majorBidi"/>
          <w:b/>
          <w:color w:val="000000" w:themeColor="text1"/>
          <w:sz w:val="28"/>
          <w:szCs w:val="28"/>
        </w:rPr>
        <w:t xml:space="preserve">Almacén de </w:t>
      </w:r>
      <w:proofErr w:type="spellStart"/>
      <w:r w:rsidR="00A342FC">
        <w:rPr>
          <w:rFonts w:eastAsiaTheme="majorEastAsia" w:cstheme="majorBidi"/>
          <w:b/>
          <w:color w:val="000000" w:themeColor="text1"/>
          <w:sz w:val="28"/>
          <w:szCs w:val="28"/>
        </w:rPr>
        <w:t>shuttle</w:t>
      </w:r>
      <w:proofErr w:type="spellEnd"/>
      <w:r w:rsidR="00A342FC">
        <w:rPr>
          <w:rFonts w:eastAsiaTheme="majorEastAsia" w:cstheme="majorBidi"/>
          <w:b/>
          <w:color w:val="000000" w:themeColor="text1"/>
          <w:sz w:val="28"/>
          <w:szCs w:val="28"/>
        </w:rPr>
        <w:t xml:space="preserve"> </w:t>
      </w:r>
      <w:proofErr w:type="spellStart"/>
      <w:r w:rsidR="00A342FC">
        <w:rPr>
          <w:rFonts w:eastAsiaTheme="majorEastAsia" w:cstheme="majorBidi"/>
          <w:b/>
          <w:color w:val="000000" w:themeColor="text1"/>
          <w:sz w:val="28"/>
          <w:szCs w:val="28"/>
        </w:rPr>
        <w:t>eficiente</w:t>
      </w:r>
      <w:proofErr w:type="spellEnd"/>
      <w:r w:rsidR="00A342FC">
        <w:rPr>
          <w:rFonts w:eastAsiaTheme="majorEastAsia" w:cstheme="majorBidi"/>
          <w:b/>
          <w:color w:val="000000" w:themeColor="text1"/>
          <w:sz w:val="28"/>
          <w:szCs w:val="28"/>
        </w:rPr>
        <w:t xml:space="preserve"> en </w:t>
      </w:r>
      <w:proofErr w:type="spellStart"/>
      <w:r w:rsidR="00A342FC">
        <w:rPr>
          <w:rFonts w:eastAsiaTheme="majorEastAsia" w:cstheme="majorBidi"/>
          <w:b/>
          <w:color w:val="000000" w:themeColor="text1"/>
          <w:sz w:val="28"/>
          <w:szCs w:val="28"/>
        </w:rPr>
        <w:t>energía</w:t>
      </w:r>
      <w:proofErr w:type="spellEnd"/>
    </w:p>
    <w:p w14:paraId="1631FC03" w14:textId="77777777" w:rsidR="00835318" w:rsidRDefault="00835318" w:rsidP="00835318">
      <w:pPr>
        <w:ind w:left="0"/>
      </w:pPr>
    </w:p>
    <w:p w14:paraId="20359D45" w14:textId="23A1EDF1" w:rsidR="00835318" w:rsidRDefault="00835318" w:rsidP="00835318">
      <w:pPr>
        <w:ind w:left="0"/>
      </w:pPr>
      <w:r>
        <w:t xml:space="preserve">El almacén de shuttle con sus seis pasillos de 80 metros cada uno, 126 Stingray shuttles y 65.700 espacios de estantería,  se ubica en el centro del nuevo edificio. </w:t>
      </w:r>
    </w:p>
    <w:p w14:paraId="651C7450" w14:textId="77777777" w:rsidR="00835318" w:rsidRDefault="00835318" w:rsidP="00835318">
      <w:pPr>
        <w:ind w:left="0"/>
      </w:pPr>
    </w:p>
    <w:p w14:paraId="43DF16EA" w14:textId="0DF758F5" w:rsidR="00835318" w:rsidRDefault="00835318" w:rsidP="00835318">
      <w:pPr>
        <w:ind w:left="0"/>
      </w:pPr>
      <w:r>
        <w:t xml:space="preserve">Las unidades de almacenaje y extracción operan a velocidades muy altas, permitiendo hasta 4,200 movimientos de contenedor por hora. En el frenado, la energía es recuperada y nuevamente alimentada al sistema. Áreas individuales tales como la entrada, almacenaje, picking y expedición están conectadas por más de tres kilómetros  de transportadores. El consumo de la energía por la tecnología King Drive </w:t>
      </w:r>
      <w:r>
        <w:rPr>
          <w:rFonts w:cstheme="minorHAnsi"/>
        </w:rPr>
        <w:t>®</w:t>
      </w:r>
      <w:r>
        <w:t xml:space="preserve"> se reduce hasta un 30% comparado con los otros sistemas convencionales. </w:t>
      </w:r>
    </w:p>
    <w:p w14:paraId="6187447C" w14:textId="77777777" w:rsidR="00835318" w:rsidRPr="00835318" w:rsidRDefault="00835318" w:rsidP="00835318">
      <w:pPr>
        <w:spacing w:line="360" w:lineRule="auto"/>
        <w:ind w:left="0" w:right="1843"/>
        <w:jc w:val="left"/>
        <w:rPr>
          <w:sz w:val="22"/>
        </w:rPr>
      </w:pPr>
    </w:p>
    <w:p w14:paraId="0A419A6B" w14:textId="48B59BCA" w:rsidR="008872D9" w:rsidRDefault="008872D9" w:rsidP="008872D9">
      <w:pPr>
        <w:ind w:left="0"/>
        <w:rPr>
          <w:rFonts w:eastAsiaTheme="majorEastAsia" w:cstheme="majorBidi"/>
          <w:b/>
          <w:color w:val="000000" w:themeColor="text1"/>
          <w:sz w:val="28"/>
          <w:szCs w:val="28"/>
        </w:rPr>
      </w:pPr>
      <w:r w:rsidRPr="00BB6ED0">
        <w:rPr>
          <w:rFonts w:eastAsiaTheme="majorEastAsia" w:cstheme="majorBidi"/>
          <w:b/>
          <w:color w:val="000000" w:themeColor="text1"/>
          <w:sz w:val="28"/>
          <w:szCs w:val="28"/>
        </w:rPr>
        <w:t>Uno de los Centros de Distribución más modernos</w:t>
      </w:r>
    </w:p>
    <w:p w14:paraId="7A266B72" w14:textId="77777777" w:rsidR="00BB6ED0" w:rsidRPr="00BB6ED0" w:rsidRDefault="00BB6ED0" w:rsidP="008872D9">
      <w:pPr>
        <w:ind w:left="0"/>
        <w:rPr>
          <w:rFonts w:eastAsiaTheme="majorEastAsia" w:cstheme="majorBidi"/>
          <w:b/>
          <w:color w:val="000000" w:themeColor="text1"/>
          <w:sz w:val="28"/>
          <w:szCs w:val="28"/>
        </w:rPr>
      </w:pPr>
    </w:p>
    <w:p w14:paraId="11CDC354" w14:textId="3B30EA0E" w:rsidR="008872D9" w:rsidRDefault="008872D9" w:rsidP="008872D9">
      <w:pPr>
        <w:ind w:left="0"/>
      </w:pPr>
      <w:r>
        <w:t xml:space="preserve">Sus seis PickCenters garantizan el más alto desempeño en un espacio compacto. Gracias al cumplimiento de pedidos goods-to-person, como también la asignación 1:1 (una fuente, un destino), los errores de picking son casi imposibles. La secuencia rio arriba ofrece flexibilidad en </w:t>
      </w:r>
      <w:proofErr w:type="gramStart"/>
      <w:r>
        <w:t>el  cambio</w:t>
      </w:r>
      <w:proofErr w:type="gramEnd"/>
      <w:r>
        <w:t xml:space="preserve"> de la</w:t>
      </w:r>
      <w:r w:rsidR="00A342FC">
        <w:t xml:space="preserve">s </w:t>
      </w:r>
      <w:proofErr w:type="spellStart"/>
      <w:r w:rsidR="00A342FC">
        <w:t>estructuras</w:t>
      </w:r>
      <w:proofErr w:type="spellEnd"/>
      <w:r w:rsidR="00A342FC">
        <w:t xml:space="preserve"> de </w:t>
      </w:r>
      <w:proofErr w:type="spellStart"/>
      <w:r w:rsidR="00A342FC">
        <w:t>órdenes</w:t>
      </w:r>
      <w:proofErr w:type="spellEnd"/>
      <w:r w:rsidR="00A342FC">
        <w:t>.</w:t>
      </w:r>
    </w:p>
    <w:p w14:paraId="1DCB39CC" w14:textId="1CD65D1A" w:rsidR="008872D9" w:rsidRDefault="008872D9" w:rsidP="008872D9">
      <w:pPr>
        <w:ind w:left="0"/>
      </w:pPr>
      <w:r>
        <w:t>“Con este proyecto, TGW ha probado su extraordinaria competencia como integrador de sistemas. Desde los componentes mecatrónicos a los sistemas de control y el software – todo se recibió de la misma fuente”, recalcan los representantes de TG</w:t>
      </w:r>
      <w:r w:rsidR="00A342FC">
        <w:t xml:space="preserve">W Ewald Berger y Thomas Kretz. </w:t>
      </w:r>
    </w:p>
    <w:p w14:paraId="1874F724" w14:textId="77777777" w:rsidR="008872D9" w:rsidRDefault="008872D9" w:rsidP="008872D9">
      <w:pPr>
        <w:ind w:left="0"/>
      </w:pPr>
      <w:r>
        <w:t xml:space="preserve">Los expertos en intralogística Austriacos, también entregaron el sistema de control de almacenaje (WCS) incluyendo el Software Suite para el cálculo del flujo de material, lo cual convierte al Centro de Logística de Interdiscount en uno de los </w:t>
      </w:r>
      <w:proofErr w:type="gramStart"/>
      <w:r>
        <w:t>más  avanzados</w:t>
      </w:r>
      <w:proofErr w:type="gramEnd"/>
      <w:r>
        <w:t xml:space="preserve"> en su categoría. </w:t>
      </w:r>
    </w:p>
    <w:p w14:paraId="6BFCC153" w14:textId="77777777" w:rsidR="008872D9" w:rsidRDefault="008872D9" w:rsidP="008872D9">
      <w:pPr>
        <w:ind w:left="0"/>
        <w:rPr>
          <w:rFonts w:eastAsiaTheme="majorEastAsia" w:cstheme="majorBidi"/>
          <w:b/>
          <w:color w:val="000000" w:themeColor="text1"/>
          <w:sz w:val="32"/>
          <w:szCs w:val="32"/>
        </w:rPr>
      </w:pPr>
    </w:p>
    <w:p w14:paraId="79F103AC" w14:textId="77777777" w:rsidR="008872D9" w:rsidRDefault="00A342FC" w:rsidP="008872D9">
      <w:pPr>
        <w:ind w:left="0"/>
      </w:pPr>
      <w:hyperlink r:id="rId8" w:history="1">
        <w:r w:rsidR="008872D9" w:rsidRPr="001B50A7">
          <w:rPr>
            <w:rStyle w:val="Hyperlink"/>
          </w:rPr>
          <w:t>www.tgw-group.com</w:t>
        </w:r>
      </w:hyperlink>
      <w:r w:rsidR="008872D9">
        <w:t xml:space="preserve"> </w:t>
      </w:r>
    </w:p>
    <w:p w14:paraId="1AD63BA8" w14:textId="77777777" w:rsidR="00BE2683" w:rsidRDefault="00BE2683" w:rsidP="008872D9">
      <w:pPr>
        <w:ind w:left="0"/>
      </w:pPr>
    </w:p>
    <w:p w14:paraId="6F0B089F" w14:textId="77777777" w:rsidR="001D345F" w:rsidRDefault="001D345F">
      <w:pPr>
        <w:spacing w:after="160" w:line="259" w:lineRule="auto"/>
        <w:ind w:left="0"/>
        <w:jc w:val="left"/>
      </w:pPr>
      <w:r>
        <w:br w:type="page"/>
      </w:r>
    </w:p>
    <w:p w14:paraId="2E26E734" w14:textId="2F7551AA" w:rsidR="008872D9" w:rsidRDefault="008872D9" w:rsidP="008872D9">
      <w:pPr>
        <w:ind w:left="0"/>
      </w:pPr>
      <w:proofErr w:type="spellStart"/>
      <w:r>
        <w:t>El</w:t>
      </w:r>
      <w:proofErr w:type="spellEnd"/>
      <w:r>
        <w:t xml:space="preserve"> Grupo TGW es un proveedor líder a nivel global de soluciones </w:t>
      </w:r>
      <w:proofErr w:type="spellStart"/>
      <w:r>
        <w:t>l</w:t>
      </w:r>
      <w:r w:rsidR="001D345F">
        <w:t>ogísticas</w:t>
      </w:r>
      <w:proofErr w:type="spellEnd"/>
      <w:r w:rsidR="001D345F">
        <w:t xml:space="preserve"> </w:t>
      </w:r>
      <w:proofErr w:type="spellStart"/>
      <w:r w:rsidR="001D345F">
        <w:t>altamente</w:t>
      </w:r>
      <w:proofErr w:type="spellEnd"/>
      <w:r w:rsidR="001D345F">
        <w:t xml:space="preserve"> </w:t>
      </w:r>
      <w:proofErr w:type="spellStart"/>
      <w:r w:rsidR="001D345F">
        <w:t>dinámicas</w:t>
      </w:r>
      <w:proofErr w:type="spellEnd"/>
      <w:r w:rsidR="001D345F">
        <w:t xml:space="preserve">, </w:t>
      </w:r>
      <w:r>
        <w:t xml:space="preserve">y </w:t>
      </w:r>
      <w:proofErr w:type="spellStart"/>
      <w:r>
        <w:t>automatizadas</w:t>
      </w:r>
      <w:proofErr w:type="spellEnd"/>
      <w:r>
        <w:t xml:space="preserve"> – </w:t>
      </w:r>
      <w:proofErr w:type="spellStart"/>
      <w:r>
        <w:t>llaves</w:t>
      </w:r>
      <w:proofErr w:type="spellEnd"/>
      <w:r>
        <w:t xml:space="preserve"> en mano. Desde 1969 la compañía ha implementado diferente soluciones logísticas internas, desde pequeñas aplicaciones de gestión de materiales a centros complejos de logística. </w:t>
      </w:r>
    </w:p>
    <w:p w14:paraId="25808A56" w14:textId="47A4FB3C" w:rsidR="008872D9" w:rsidRDefault="008872D9" w:rsidP="008872D9">
      <w:pPr>
        <w:ind w:left="0"/>
      </w:pPr>
      <w:proofErr w:type="spellStart"/>
      <w:r>
        <w:t>Con</w:t>
      </w:r>
      <w:proofErr w:type="spellEnd"/>
      <w:r>
        <w:t xml:space="preserve"> </w:t>
      </w:r>
      <w:proofErr w:type="spellStart"/>
      <w:r>
        <w:t>aproxidamente</w:t>
      </w:r>
      <w:proofErr w:type="spellEnd"/>
      <w:r>
        <w:t xml:space="preserve"> 3</w:t>
      </w:r>
      <w:r w:rsidR="001D345F">
        <w:t xml:space="preserve">,300 </w:t>
      </w:r>
      <w:proofErr w:type="spellStart"/>
      <w:r w:rsidR="001D345F">
        <w:t>empleados</w:t>
      </w:r>
      <w:proofErr w:type="spellEnd"/>
      <w:r w:rsidR="001D345F">
        <w:t xml:space="preserve"> a </w:t>
      </w:r>
      <w:proofErr w:type="spellStart"/>
      <w:r w:rsidR="001D345F">
        <w:t>nivel</w:t>
      </w:r>
      <w:proofErr w:type="spellEnd"/>
      <w:r w:rsidR="001D345F">
        <w:t xml:space="preserve"> </w:t>
      </w:r>
      <w:proofErr w:type="spellStart"/>
      <w:r w:rsidR="001D345F">
        <w:t>mundial</w:t>
      </w:r>
      <w:proofErr w:type="spellEnd"/>
      <w:r w:rsidR="001D345F">
        <w:t>,</w:t>
      </w:r>
      <w:r>
        <w:t xml:space="preserve"> el grupo implementa soluciones logísticas para compañías líder en varias industrias. El grupo TGW gene</w:t>
      </w:r>
      <w:r w:rsidR="001D345F">
        <w:t>ró durante el año comercial 2017/2018</w:t>
      </w:r>
      <w:r>
        <w:t xml:space="preserve"> ingresos de </w:t>
      </w:r>
      <w:proofErr w:type="spellStart"/>
      <w:r>
        <w:t>ventas</w:t>
      </w:r>
      <w:proofErr w:type="spellEnd"/>
      <w:r>
        <w:t xml:space="preserve"> de </w:t>
      </w:r>
      <w:r w:rsidR="001D345F">
        <w:t xml:space="preserve">713 </w:t>
      </w:r>
      <w:proofErr w:type="spellStart"/>
      <w:r>
        <w:t>millones</w:t>
      </w:r>
      <w:proofErr w:type="spellEnd"/>
      <w:r>
        <w:t xml:space="preserve"> de </w:t>
      </w:r>
      <w:proofErr w:type="spellStart"/>
      <w:r>
        <w:t>euros</w:t>
      </w:r>
      <w:proofErr w:type="spellEnd"/>
      <w:r>
        <w:t xml:space="preserve">. </w:t>
      </w:r>
    </w:p>
    <w:p w14:paraId="6EB9E9E4" w14:textId="77777777" w:rsidR="008872D9" w:rsidRDefault="008872D9" w:rsidP="008872D9">
      <w:pPr>
        <w:ind w:left="0"/>
        <w:rPr>
          <w:lang w:val="en-US"/>
        </w:rPr>
      </w:pPr>
    </w:p>
    <w:p w14:paraId="4F47D3EB" w14:textId="3C07978B" w:rsidR="008872D9" w:rsidRPr="001D345F" w:rsidRDefault="008872D9" w:rsidP="008872D9">
      <w:pPr>
        <w:ind w:left="0"/>
        <w:rPr>
          <w:b/>
          <w:lang w:val="en-US"/>
        </w:rPr>
      </w:pPr>
      <w:proofErr w:type="spellStart"/>
      <w:r w:rsidRPr="001D345F">
        <w:rPr>
          <w:b/>
          <w:lang w:val="en-US"/>
        </w:rPr>
        <w:t>Contacto</w:t>
      </w:r>
      <w:proofErr w:type="spellEnd"/>
      <w:r w:rsidRPr="001D345F">
        <w:rPr>
          <w:b/>
          <w:lang w:val="en-US"/>
        </w:rPr>
        <w:t xml:space="preserve">: </w:t>
      </w:r>
    </w:p>
    <w:p w14:paraId="0A4D9554" w14:textId="77777777" w:rsidR="008872D9" w:rsidRPr="00E72146" w:rsidRDefault="008872D9" w:rsidP="008872D9">
      <w:pPr>
        <w:ind w:left="0"/>
        <w:rPr>
          <w:lang w:val="en-US"/>
        </w:rPr>
      </w:pPr>
    </w:p>
    <w:p w14:paraId="36BB0F0D" w14:textId="69A73BCE" w:rsidR="008872D9" w:rsidRDefault="008872D9" w:rsidP="008872D9">
      <w:pPr>
        <w:ind w:left="0"/>
        <w:rPr>
          <w:lang w:val="en-US"/>
        </w:rPr>
      </w:pPr>
      <w:r>
        <w:rPr>
          <w:lang w:val="en-US"/>
        </w:rPr>
        <w:t>Martin Kirchmayr</w:t>
      </w:r>
    </w:p>
    <w:p w14:paraId="4FAE40C6" w14:textId="23A994A1" w:rsidR="008872D9" w:rsidRDefault="008872D9" w:rsidP="008872D9">
      <w:pPr>
        <w:ind w:left="0"/>
        <w:rPr>
          <w:lang w:val="en-US"/>
        </w:rPr>
      </w:pPr>
      <w:r>
        <w:rPr>
          <w:lang w:val="en-US"/>
        </w:rPr>
        <w:t>Marketing &amp; Communication Manager</w:t>
      </w:r>
    </w:p>
    <w:p w14:paraId="3BB7A288" w14:textId="330EBE2C" w:rsidR="008872D9" w:rsidRDefault="008872D9" w:rsidP="008872D9">
      <w:pPr>
        <w:ind w:left="0"/>
        <w:rPr>
          <w:lang w:val="en-US"/>
        </w:rPr>
      </w:pPr>
      <w:r>
        <w:rPr>
          <w:lang w:val="en-US"/>
        </w:rPr>
        <w:t>T: +43</w:t>
      </w:r>
      <w:r w:rsidR="00F614E0">
        <w:rPr>
          <w:lang w:val="en-US"/>
        </w:rPr>
        <w:t xml:space="preserve"> (0).50.486-1382</w:t>
      </w:r>
    </w:p>
    <w:p w14:paraId="57A2720E" w14:textId="615F639C" w:rsidR="00F614E0" w:rsidRDefault="00F614E0" w:rsidP="008872D9">
      <w:pPr>
        <w:ind w:left="0"/>
        <w:rPr>
          <w:lang w:val="en-US"/>
        </w:rPr>
      </w:pPr>
      <w:r>
        <w:rPr>
          <w:lang w:val="en-US"/>
        </w:rPr>
        <w:t>M: +43(0).664.8187423</w:t>
      </w:r>
    </w:p>
    <w:p w14:paraId="237D3EED" w14:textId="04525AF5" w:rsidR="00F614E0" w:rsidRDefault="00F614E0" w:rsidP="008872D9">
      <w:pPr>
        <w:ind w:left="0"/>
        <w:rPr>
          <w:lang w:val="en-US"/>
        </w:rPr>
      </w:pPr>
      <w:r>
        <w:rPr>
          <w:lang w:val="en-US"/>
        </w:rPr>
        <w:t>Martin.Kirchmayr@tgw-group.com</w:t>
      </w:r>
    </w:p>
    <w:p w14:paraId="1B485E61" w14:textId="77777777" w:rsidR="008872D9" w:rsidRDefault="008872D9" w:rsidP="008872D9">
      <w:pPr>
        <w:ind w:left="0"/>
        <w:rPr>
          <w:lang w:val="en-US"/>
        </w:rPr>
      </w:pPr>
    </w:p>
    <w:p w14:paraId="1199AD93" w14:textId="059409CB" w:rsidR="008872D9" w:rsidRPr="00E72146" w:rsidRDefault="008872D9" w:rsidP="008872D9">
      <w:pPr>
        <w:ind w:left="0"/>
        <w:rPr>
          <w:lang w:val="en-US"/>
        </w:rPr>
      </w:pPr>
      <w:r>
        <w:rPr>
          <w:lang w:val="en-US"/>
        </w:rPr>
        <w:t>A</w:t>
      </w:r>
      <w:r w:rsidRPr="00E72146">
        <w:rPr>
          <w:lang w:val="en-US"/>
        </w:rPr>
        <w:t>lexander Tahedl</w:t>
      </w:r>
    </w:p>
    <w:p w14:paraId="4FA493A7" w14:textId="77777777" w:rsidR="008872D9" w:rsidRPr="00E72146" w:rsidRDefault="008872D9" w:rsidP="008872D9">
      <w:pPr>
        <w:ind w:left="0"/>
        <w:rPr>
          <w:lang w:val="en-US"/>
        </w:rPr>
      </w:pPr>
      <w:r w:rsidRPr="00E72146">
        <w:rPr>
          <w:lang w:val="en-US"/>
        </w:rPr>
        <w:t>Marketing Specialist</w:t>
      </w:r>
    </w:p>
    <w:p w14:paraId="77C150CC" w14:textId="77777777" w:rsidR="008872D9" w:rsidRPr="00E72146" w:rsidRDefault="008872D9" w:rsidP="008872D9">
      <w:pPr>
        <w:ind w:left="0"/>
        <w:rPr>
          <w:lang w:val="en-US"/>
        </w:rPr>
      </w:pPr>
      <w:r w:rsidRPr="00E72146">
        <w:rPr>
          <w:lang w:val="en-US"/>
        </w:rPr>
        <w:t>T: +43 (0)50.486-2267</w:t>
      </w:r>
    </w:p>
    <w:p w14:paraId="1D5B328C" w14:textId="4E4587DD" w:rsidR="00835318" w:rsidRPr="00835318" w:rsidRDefault="008872D9" w:rsidP="008872D9">
      <w:pPr>
        <w:spacing w:line="360" w:lineRule="auto"/>
        <w:ind w:left="0" w:right="1843"/>
        <w:jc w:val="left"/>
        <w:rPr>
          <w:sz w:val="22"/>
          <w:lang w:val="es-ES"/>
        </w:rPr>
      </w:pPr>
      <w:r w:rsidRPr="002839F0">
        <w:rPr>
          <w:lang w:val="es-ES"/>
        </w:rPr>
        <w:t xml:space="preserve">Alexander.tahedl@tgw-group.com </w:t>
      </w:r>
      <w:r w:rsidRPr="002839F0">
        <w:rPr>
          <w:rFonts w:asciiTheme="majorHAnsi" w:eastAsiaTheme="majorEastAsia" w:hAnsiTheme="majorHAnsi" w:cstheme="majorBidi"/>
          <w:b/>
          <w:bCs/>
          <w:color w:val="8F0312" w:themeColor="accent1" w:themeShade="BF"/>
          <w:sz w:val="28"/>
          <w:szCs w:val="28"/>
          <w:lang w:val="es-ES"/>
        </w:rPr>
        <w:t xml:space="preserve">     </w:t>
      </w:r>
    </w:p>
    <w:sectPr w:rsidR="00835318" w:rsidRPr="00835318" w:rsidSect="00E20D35">
      <w:headerReference w:type="default" r:id="rId9"/>
      <w:footerReference w:type="default" r:id="rId10"/>
      <w:pgSz w:w="11906" w:h="16838" w:code="9"/>
      <w:pgMar w:top="2268" w:right="2692"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34171" w14:textId="77777777" w:rsidR="00FD757A" w:rsidRDefault="00FD757A" w:rsidP="00764006">
      <w:pPr>
        <w:spacing w:line="240" w:lineRule="auto"/>
      </w:pPr>
      <w:r>
        <w:separator/>
      </w:r>
    </w:p>
  </w:endnote>
  <w:endnote w:type="continuationSeparator" w:id="0">
    <w:p w14:paraId="2FB21F89" w14:textId="77777777" w:rsidR="00FD757A" w:rsidRDefault="00FD757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62"/>
      <w:gridCol w:w="233"/>
      <w:gridCol w:w="233"/>
      <w:gridCol w:w="1991"/>
    </w:tblGrid>
    <w:tr w:rsidR="000B65C7" w:rsidRPr="00C424EA" w14:paraId="3C924E78" w14:textId="77777777" w:rsidTr="0061697F">
      <w:tc>
        <w:tcPr>
          <w:tcW w:w="6474" w:type="dxa"/>
        </w:tcPr>
        <w:p w14:paraId="6A3AB3DA" w14:textId="77777777"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6912AF06" w14:textId="77777777" w:rsidR="000B65C7" w:rsidRPr="00C424EA" w:rsidRDefault="000B65C7" w:rsidP="00C424EA">
          <w:pPr>
            <w:pStyle w:val="Fuzeile"/>
            <w:rPr>
              <w:sz w:val="16"/>
              <w:szCs w:val="16"/>
            </w:rPr>
          </w:pPr>
        </w:p>
      </w:tc>
      <w:tc>
        <w:tcPr>
          <w:tcW w:w="283" w:type="dxa"/>
          <w:tcBorders>
            <w:left w:val="single" w:sz="12" w:space="0" w:color="C00418" w:themeColor="accent1"/>
          </w:tcBorders>
        </w:tcPr>
        <w:p w14:paraId="0CD16A8D" w14:textId="77777777" w:rsidR="000B65C7" w:rsidRPr="00C424EA" w:rsidRDefault="000B65C7" w:rsidP="00C424EA">
          <w:pPr>
            <w:pStyle w:val="Fuzeile"/>
            <w:rPr>
              <w:sz w:val="16"/>
              <w:szCs w:val="16"/>
            </w:rPr>
          </w:pPr>
        </w:p>
      </w:tc>
      <w:tc>
        <w:tcPr>
          <w:tcW w:w="2438" w:type="dxa"/>
          <w:vAlign w:val="center"/>
        </w:tcPr>
        <w:p w14:paraId="58F14FE1" w14:textId="0CD9374A"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A342FC">
            <w:rPr>
              <w:noProof/>
              <w:sz w:val="16"/>
              <w:szCs w:val="16"/>
            </w:rPr>
            <w:t>2</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A342FC">
            <w:rPr>
              <w:noProof/>
              <w:sz w:val="16"/>
              <w:szCs w:val="16"/>
            </w:rPr>
            <w:t>3</w:t>
          </w:r>
          <w:r w:rsidR="00C424EA" w:rsidRPr="00C424EA">
            <w:rPr>
              <w:noProof/>
              <w:sz w:val="16"/>
              <w:szCs w:val="16"/>
            </w:rPr>
            <w:fldChar w:fldCharType="end"/>
          </w:r>
        </w:p>
      </w:tc>
    </w:tr>
  </w:tbl>
  <w:p w14:paraId="53D9225E" w14:textId="77777777"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8FA55" w14:textId="77777777" w:rsidR="00FD757A" w:rsidRDefault="00FD757A" w:rsidP="00764006">
      <w:pPr>
        <w:spacing w:line="240" w:lineRule="auto"/>
      </w:pPr>
      <w:r>
        <w:separator/>
      </w:r>
    </w:p>
  </w:footnote>
  <w:footnote w:type="continuationSeparator" w:id="0">
    <w:p w14:paraId="3BC95901" w14:textId="77777777" w:rsidR="00FD757A" w:rsidRDefault="00FD757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ECDB" w14:textId="77777777" w:rsidR="00C54F6A" w:rsidRDefault="00C54F6A" w:rsidP="00C54F6A">
    <w:pPr>
      <w:pStyle w:val="Dokumententitel"/>
    </w:pPr>
  </w:p>
  <w:p w14:paraId="1B606E85" w14:textId="65416F8B" w:rsidR="00C54F6A" w:rsidRPr="00C15D91" w:rsidRDefault="00C54F6A" w:rsidP="00C54F6A">
    <w:pPr>
      <w:pStyle w:val="Dokumententitel"/>
    </w:pPr>
    <w:r>
      <w:rPr>
        <w:lang w:eastAsia="de-AT"/>
      </w:rPr>
      <w:drawing>
        <wp:anchor distT="0" distB="0" distL="114300" distR="114300" simplePos="0" relativeHeight="251661312" behindDoc="0" locked="0" layoutInCell="1" allowOverlap="1" wp14:anchorId="14C4E43D" wp14:editId="6074A1B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F122D">
      <w:t>Comunicado de Prensa</w:t>
    </w:r>
  </w:p>
  <w:p w14:paraId="5D7C9970" w14:textId="77777777"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7"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en-US" w:vendorID="64" w:dllVersion="131078" w:nlCheck="1" w:checkStyle="1"/>
  <w:activeWritingStyle w:appName="MSWord" w:lang="de-DE" w:vendorID="64" w:dllVersion="131078" w:nlCheck="1" w:checkStyle="0"/>
  <w:activeWritingStyle w:appName="MSWord" w:lang="es-SV"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C17"/>
    <w:rsid w:val="00015103"/>
    <w:rsid w:val="00017359"/>
    <w:rsid w:val="0002404E"/>
    <w:rsid w:val="00025238"/>
    <w:rsid w:val="000362EF"/>
    <w:rsid w:val="00045F47"/>
    <w:rsid w:val="00072975"/>
    <w:rsid w:val="0007681D"/>
    <w:rsid w:val="000B3869"/>
    <w:rsid w:val="000B65C7"/>
    <w:rsid w:val="000C38EE"/>
    <w:rsid w:val="000C4592"/>
    <w:rsid w:val="000C4F24"/>
    <w:rsid w:val="000E157B"/>
    <w:rsid w:val="000E33FB"/>
    <w:rsid w:val="000E4D3F"/>
    <w:rsid w:val="000E5E13"/>
    <w:rsid w:val="000F6C2E"/>
    <w:rsid w:val="00103B55"/>
    <w:rsid w:val="00106523"/>
    <w:rsid w:val="00114EE0"/>
    <w:rsid w:val="0012627D"/>
    <w:rsid w:val="00127EEF"/>
    <w:rsid w:val="00134CCE"/>
    <w:rsid w:val="00135042"/>
    <w:rsid w:val="00142599"/>
    <w:rsid w:val="00142D0C"/>
    <w:rsid w:val="00147C5F"/>
    <w:rsid w:val="00185FCF"/>
    <w:rsid w:val="00193CCF"/>
    <w:rsid w:val="001A43A4"/>
    <w:rsid w:val="001A6E46"/>
    <w:rsid w:val="001B0916"/>
    <w:rsid w:val="001B31BE"/>
    <w:rsid w:val="001C1838"/>
    <w:rsid w:val="001D345F"/>
    <w:rsid w:val="001D3DA5"/>
    <w:rsid w:val="001D7887"/>
    <w:rsid w:val="001E6404"/>
    <w:rsid w:val="001F122D"/>
    <w:rsid w:val="001F2A46"/>
    <w:rsid w:val="00200E0B"/>
    <w:rsid w:val="00212244"/>
    <w:rsid w:val="00216A2C"/>
    <w:rsid w:val="002220F6"/>
    <w:rsid w:val="002251F3"/>
    <w:rsid w:val="00256109"/>
    <w:rsid w:val="00257927"/>
    <w:rsid w:val="00260754"/>
    <w:rsid w:val="002612C5"/>
    <w:rsid w:val="0026487A"/>
    <w:rsid w:val="00265358"/>
    <w:rsid w:val="00273328"/>
    <w:rsid w:val="002734FC"/>
    <w:rsid w:val="002820AB"/>
    <w:rsid w:val="002839F0"/>
    <w:rsid w:val="002A1224"/>
    <w:rsid w:val="002A3009"/>
    <w:rsid w:val="002A683E"/>
    <w:rsid w:val="002C13ED"/>
    <w:rsid w:val="002C345F"/>
    <w:rsid w:val="002C36E5"/>
    <w:rsid w:val="002C61F8"/>
    <w:rsid w:val="002C69C9"/>
    <w:rsid w:val="002D7195"/>
    <w:rsid w:val="002E317C"/>
    <w:rsid w:val="002F5DD8"/>
    <w:rsid w:val="00322F17"/>
    <w:rsid w:val="00325071"/>
    <w:rsid w:val="0032555B"/>
    <w:rsid w:val="00330DA9"/>
    <w:rsid w:val="00353A88"/>
    <w:rsid w:val="00360255"/>
    <w:rsid w:val="00360EEB"/>
    <w:rsid w:val="00366266"/>
    <w:rsid w:val="00367F43"/>
    <w:rsid w:val="00371C4E"/>
    <w:rsid w:val="00374811"/>
    <w:rsid w:val="00377F06"/>
    <w:rsid w:val="00384E4B"/>
    <w:rsid w:val="00387D59"/>
    <w:rsid w:val="003904E0"/>
    <w:rsid w:val="00390B54"/>
    <w:rsid w:val="003A1ED6"/>
    <w:rsid w:val="003A1F64"/>
    <w:rsid w:val="003A35D1"/>
    <w:rsid w:val="003B2F92"/>
    <w:rsid w:val="003B31E3"/>
    <w:rsid w:val="003B509C"/>
    <w:rsid w:val="003B5271"/>
    <w:rsid w:val="003C3AA4"/>
    <w:rsid w:val="003E6107"/>
    <w:rsid w:val="003E7F54"/>
    <w:rsid w:val="003F3E54"/>
    <w:rsid w:val="003F58AC"/>
    <w:rsid w:val="004022C2"/>
    <w:rsid w:val="00414041"/>
    <w:rsid w:val="00427466"/>
    <w:rsid w:val="0043387C"/>
    <w:rsid w:val="00444115"/>
    <w:rsid w:val="00451FDA"/>
    <w:rsid w:val="00453F03"/>
    <w:rsid w:val="00454CE6"/>
    <w:rsid w:val="00456A9F"/>
    <w:rsid w:val="004746BE"/>
    <w:rsid w:val="00475FF4"/>
    <w:rsid w:val="0047613B"/>
    <w:rsid w:val="004832B0"/>
    <w:rsid w:val="00483405"/>
    <w:rsid w:val="00484781"/>
    <w:rsid w:val="0049574E"/>
    <w:rsid w:val="004A444C"/>
    <w:rsid w:val="004D5A7D"/>
    <w:rsid w:val="004E2F7E"/>
    <w:rsid w:val="004E2F91"/>
    <w:rsid w:val="004F17A9"/>
    <w:rsid w:val="005105A7"/>
    <w:rsid w:val="00523149"/>
    <w:rsid w:val="005436D2"/>
    <w:rsid w:val="00557222"/>
    <w:rsid w:val="00574451"/>
    <w:rsid w:val="00576375"/>
    <w:rsid w:val="00585363"/>
    <w:rsid w:val="005A1402"/>
    <w:rsid w:val="005A6393"/>
    <w:rsid w:val="005B0567"/>
    <w:rsid w:val="005B175C"/>
    <w:rsid w:val="005B4F11"/>
    <w:rsid w:val="005B6283"/>
    <w:rsid w:val="005C765B"/>
    <w:rsid w:val="005D71EC"/>
    <w:rsid w:val="005E1EC3"/>
    <w:rsid w:val="005E3DF7"/>
    <w:rsid w:val="005F1EA6"/>
    <w:rsid w:val="006075A2"/>
    <w:rsid w:val="00616244"/>
    <w:rsid w:val="00617806"/>
    <w:rsid w:val="00647E9D"/>
    <w:rsid w:val="006550F3"/>
    <w:rsid w:val="0067197F"/>
    <w:rsid w:val="00675E5A"/>
    <w:rsid w:val="00676996"/>
    <w:rsid w:val="00677B13"/>
    <w:rsid w:val="006826A3"/>
    <w:rsid w:val="00687F97"/>
    <w:rsid w:val="006C74BB"/>
    <w:rsid w:val="006D3FEE"/>
    <w:rsid w:val="006D7ABD"/>
    <w:rsid w:val="006F0740"/>
    <w:rsid w:val="006F519C"/>
    <w:rsid w:val="007058A0"/>
    <w:rsid w:val="00715771"/>
    <w:rsid w:val="00722073"/>
    <w:rsid w:val="00722C1F"/>
    <w:rsid w:val="007344D8"/>
    <w:rsid w:val="00740C29"/>
    <w:rsid w:val="00743B0E"/>
    <w:rsid w:val="007502BB"/>
    <w:rsid w:val="007527A9"/>
    <w:rsid w:val="00754590"/>
    <w:rsid w:val="007549DF"/>
    <w:rsid w:val="00757786"/>
    <w:rsid w:val="00764006"/>
    <w:rsid w:val="00767466"/>
    <w:rsid w:val="00784491"/>
    <w:rsid w:val="0079474E"/>
    <w:rsid w:val="007C1806"/>
    <w:rsid w:val="007D0E42"/>
    <w:rsid w:val="007D2294"/>
    <w:rsid w:val="007E1ADC"/>
    <w:rsid w:val="007E3F23"/>
    <w:rsid w:val="007F2D39"/>
    <w:rsid w:val="008058D8"/>
    <w:rsid w:val="00807724"/>
    <w:rsid w:val="00812E4D"/>
    <w:rsid w:val="008224C7"/>
    <w:rsid w:val="00822F05"/>
    <w:rsid w:val="00834365"/>
    <w:rsid w:val="00835318"/>
    <w:rsid w:val="00836C1B"/>
    <w:rsid w:val="00854D8B"/>
    <w:rsid w:val="0085607B"/>
    <w:rsid w:val="00861CE2"/>
    <w:rsid w:val="0086365C"/>
    <w:rsid w:val="008639D1"/>
    <w:rsid w:val="00874136"/>
    <w:rsid w:val="00885DC8"/>
    <w:rsid w:val="008861B9"/>
    <w:rsid w:val="008872D9"/>
    <w:rsid w:val="008966E4"/>
    <w:rsid w:val="008A7110"/>
    <w:rsid w:val="008B0223"/>
    <w:rsid w:val="008B2AD3"/>
    <w:rsid w:val="008B43F7"/>
    <w:rsid w:val="008B63D6"/>
    <w:rsid w:val="008C1E4D"/>
    <w:rsid w:val="008C62E5"/>
    <w:rsid w:val="008E7A6F"/>
    <w:rsid w:val="008F52D5"/>
    <w:rsid w:val="00904C5D"/>
    <w:rsid w:val="00914596"/>
    <w:rsid w:val="009242D9"/>
    <w:rsid w:val="00925FC0"/>
    <w:rsid w:val="00953F4B"/>
    <w:rsid w:val="009726ED"/>
    <w:rsid w:val="00981B98"/>
    <w:rsid w:val="00981F69"/>
    <w:rsid w:val="00991CDC"/>
    <w:rsid w:val="00997C23"/>
    <w:rsid w:val="009A5277"/>
    <w:rsid w:val="009C0176"/>
    <w:rsid w:val="009C5DF7"/>
    <w:rsid w:val="009D1BC4"/>
    <w:rsid w:val="009D24FF"/>
    <w:rsid w:val="009D4D4F"/>
    <w:rsid w:val="009E4A59"/>
    <w:rsid w:val="00A002AF"/>
    <w:rsid w:val="00A01BF4"/>
    <w:rsid w:val="00A04E14"/>
    <w:rsid w:val="00A105EB"/>
    <w:rsid w:val="00A148F7"/>
    <w:rsid w:val="00A251DF"/>
    <w:rsid w:val="00A34171"/>
    <w:rsid w:val="00A342FC"/>
    <w:rsid w:val="00A510C0"/>
    <w:rsid w:val="00A53A2A"/>
    <w:rsid w:val="00A55EF6"/>
    <w:rsid w:val="00A63795"/>
    <w:rsid w:val="00A671CF"/>
    <w:rsid w:val="00A67E5B"/>
    <w:rsid w:val="00A70671"/>
    <w:rsid w:val="00A70F24"/>
    <w:rsid w:val="00A72304"/>
    <w:rsid w:val="00AA055D"/>
    <w:rsid w:val="00AC2A06"/>
    <w:rsid w:val="00AC3597"/>
    <w:rsid w:val="00AC473D"/>
    <w:rsid w:val="00AD3796"/>
    <w:rsid w:val="00AE188F"/>
    <w:rsid w:val="00AE2AFD"/>
    <w:rsid w:val="00AF2210"/>
    <w:rsid w:val="00B03B65"/>
    <w:rsid w:val="00B06010"/>
    <w:rsid w:val="00B1646F"/>
    <w:rsid w:val="00B24356"/>
    <w:rsid w:val="00B41D07"/>
    <w:rsid w:val="00B4759A"/>
    <w:rsid w:val="00B640BD"/>
    <w:rsid w:val="00B64531"/>
    <w:rsid w:val="00B7270E"/>
    <w:rsid w:val="00B8155C"/>
    <w:rsid w:val="00B83BF2"/>
    <w:rsid w:val="00B932A7"/>
    <w:rsid w:val="00B95BAE"/>
    <w:rsid w:val="00BA1FB0"/>
    <w:rsid w:val="00BA5D13"/>
    <w:rsid w:val="00BB6ED0"/>
    <w:rsid w:val="00BC367F"/>
    <w:rsid w:val="00BC7A1A"/>
    <w:rsid w:val="00BD3A46"/>
    <w:rsid w:val="00BE2683"/>
    <w:rsid w:val="00BE620D"/>
    <w:rsid w:val="00C1252C"/>
    <w:rsid w:val="00C1300C"/>
    <w:rsid w:val="00C22048"/>
    <w:rsid w:val="00C2672F"/>
    <w:rsid w:val="00C32BF1"/>
    <w:rsid w:val="00C337D0"/>
    <w:rsid w:val="00C424EA"/>
    <w:rsid w:val="00C442BE"/>
    <w:rsid w:val="00C442CC"/>
    <w:rsid w:val="00C50D9D"/>
    <w:rsid w:val="00C54F6A"/>
    <w:rsid w:val="00C70BCD"/>
    <w:rsid w:val="00C83128"/>
    <w:rsid w:val="00C84E68"/>
    <w:rsid w:val="00C8748C"/>
    <w:rsid w:val="00CA585D"/>
    <w:rsid w:val="00CA5C99"/>
    <w:rsid w:val="00CB27E5"/>
    <w:rsid w:val="00CB61CC"/>
    <w:rsid w:val="00CD41F8"/>
    <w:rsid w:val="00CD6EC1"/>
    <w:rsid w:val="00CD7836"/>
    <w:rsid w:val="00CE21E6"/>
    <w:rsid w:val="00CE5C9C"/>
    <w:rsid w:val="00CF07DC"/>
    <w:rsid w:val="00CF0801"/>
    <w:rsid w:val="00D25CDB"/>
    <w:rsid w:val="00D3408D"/>
    <w:rsid w:val="00D37FF1"/>
    <w:rsid w:val="00D521AE"/>
    <w:rsid w:val="00D54924"/>
    <w:rsid w:val="00D66FB8"/>
    <w:rsid w:val="00D72569"/>
    <w:rsid w:val="00D75A6B"/>
    <w:rsid w:val="00D76A22"/>
    <w:rsid w:val="00D77C93"/>
    <w:rsid w:val="00D85C8C"/>
    <w:rsid w:val="00D92EC2"/>
    <w:rsid w:val="00D94CE5"/>
    <w:rsid w:val="00D9788A"/>
    <w:rsid w:val="00DA6917"/>
    <w:rsid w:val="00DA7496"/>
    <w:rsid w:val="00DB78F1"/>
    <w:rsid w:val="00DD70FB"/>
    <w:rsid w:val="00DF270B"/>
    <w:rsid w:val="00DF36AC"/>
    <w:rsid w:val="00DF6D64"/>
    <w:rsid w:val="00E00BE8"/>
    <w:rsid w:val="00E10425"/>
    <w:rsid w:val="00E20D35"/>
    <w:rsid w:val="00E21D57"/>
    <w:rsid w:val="00E24D44"/>
    <w:rsid w:val="00E26194"/>
    <w:rsid w:val="00E2631D"/>
    <w:rsid w:val="00E3185C"/>
    <w:rsid w:val="00E44BB9"/>
    <w:rsid w:val="00E46DE1"/>
    <w:rsid w:val="00E50C57"/>
    <w:rsid w:val="00E52190"/>
    <w:rsid w:val="00E54E75"/>
    <w:rsid w:val="00E6260E"/>
    <w:rsid w:val="00E66E08"/>
    <w:rsid w:val="00E831B3"/>
    <w:rsid w:val="00E852B6"/>
    <w:rsid w:val="00E91E3A"/>
    <w:rsid w:val="00EA68A9"/>
    <w:rsid w:val="00EB09AC"/>
    <w:rsid w:val="00EB2384"/>
    <w:rsid w:val="00EC1320"/>
    <w:rsid w:val="00EC2404"/>
    <w:rsid w:val="00ED5ABD"/>
    <w:rsid w:val="00EE1B7D"/>
    <w:rsid w:val="00F30DE0"/>
    <w:rsid w:val="00F35FAE"/>
    <w:rsid w:val="00F5171D"/>
    <w:rsid w:val="00F52845"/>
    <w:rsid w:val="00F614E0"/>
    <w:rsid w:val="00F715A6"/>
    <w:rsid w:val="00F767CC"/>
    <w:rsid w:val="00F82E3A"/>
    <w:rsid w:val="00FA0381"/>
    <w:rsid w:val="00FA2F1D"/>
    <w:rsid w:val="00FA380D"/>
    <w:rsid w:val="00FA3ECC"/>
    <w:rsid w:val="00FA4299"/>
    <w:rsid w:val="00FA46BD"/>
    <w:rsid w:val="00FA5C2C"/>
    <w:rsid w:val="00FB0EAC"/>
    <w:rsid w:val="00FC0E20"/>
    <w:rsid w:val="00FC17ED"/>
    <w:rsid w:val="00FC5768"/>
    <w:rsid w:val="00FC6563"/>
    <w:rsid w:val="00FD25D7"/>
    <w:rsid w:val="00FD581F"/>
    <w:rsid w:val="00FD66DC"/>
    <w:rsid w:val="00FD757A"/>
    <w:rsid w:val="00FF40B2"/>
    <w:rsid w:val="00FF75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6D6EF"/>
  <w15:docId w15:val="{0E898F5D-6A82-4BAC-91A4-C4C83C52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customStyle="1" w:styleId="Gitternetztabelle5dunkelAkzent31">
    <w:name w:val="Gitternetztabelle 5 dunkel  – Akzent 31"/>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CD7836"/>
    <w:rPr>
      <w:sz w:val="16"/>
      <w:szCs w:val="16"/>
    </w:rPr>
  </w:style>
  <w:style w:type="paragraph" w:styleId="Kommentartext">
    <w:name w:val="annotation text"/>
    <w:basedOn w:val="Standard"/>
    <w:link w:val="KommentartextZchn"/>
    <w:uiPriority w:val="99"/>
    <w:semiHidden/>
    <w:unhideWhenUsed/>
    <w:rsid w:val="00CD7836"/>
    <w:pPr>
      <w:spacing w:line="240" w:lineRule="auto"/>
    </w:pPr>
    <w:rPr>
      <w:szCs w:val="20"/>
    </w:rPr>
  </w:style>
  <w:style w:type="character" w:customStyle="1" w:styleId="KommentartextZchn">
    <w:name w:val="Kommentartext Zchn"/>
    <w:basedOn w:val="Absatz-Standardschriftart"/>
    <w:link w:val="Kommentartext"/>
    <w:uiPriority w:val="99"/>
    <w:semiHidden/>
    <w:rsid w:val="00CD783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D7836"/>
    <w:rPr>
      <w:b/>
      <w:bCs/>
    </w:rPr>
  </w:style>
  <w:style w:type="character" w:customStyle="1" w:styleId="KommentarthemaZchn">
    <w:name w:val="Kommentarthema Zchn"/>
    <w:basedOn w:val="KommentartextZchn"/>
    <w:link w:val="Kommentarthema"/>
    <w:uiPriority w:val="99"/>
    <w:semiHidden/>
    <w:rsid w:val="00CD7836"/>
    <w:rPr>
      <w:rFonts w:ascii="Arial" w:hAnsi="Arial"/>
      <w:b/>
      <w:bCs/>
      <w:sz w:val="20"/>
      <w:szCs w:val="20"/>
    </w:rPr>
  </w:style>
  <w:style w:type="paragraph" w:styleId="Textkrper">
    <w:name w:val="Body Text"/>
    <w:basedOn w:val="Standard"/>
    <w:link w:val="TextkrperZchn"/>
    <w:uiPriority w:val="99"/>
    <w:unhideWhenUsed/>
    <w:rsid w:val="00835318"/>
    <w:pPr>
      <w:spacing w:after="120" w:line="276" w:lineRule="auto"/>
      <w:ind w:left="0"/>
      <w:jc w:val="left"/>
    </w:pPr>
    <w:rPr>
      <w:rFonts w:asciiTheme="minorHAnsi" w:eastAsiaTheme="minorEastAsia" w:hAnsiTheme="minorHAnsi"/>
      <w:sz w:val="22"/>
      <w:lang w:val="es-ES" w:eastAsia="zh-CN"/>
    </w:rPr>
  </w:style>
  <w:style w:type="character" w:customStyle="1" w:styleId="TextkrperZchn">
    <w:name w:val="Textkörper Zchn"/>
    <w:basedOn w:val="Absatz-Standardschriftart"/>
    <w:link w:val="Textkrper"/>
    <w:uiPriority w:val="99"/>
    <w:rsid w:val="00835318"/>
    <w:rPr>
      <w:rFonts w:eastAsiaTheme="minorEastAsia"/>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75929">
      <w:bodyDiv w:val="1"/>
      <w:marLeft w:val="0"/>
      <w:marRight w:val="0"/>
      <w:marTop w:val="0"/>
      <w:marBottom w:val="0"/>
      <w:divBdr>
        <w:top w:val="none" w:sz="0" w:space="0" w:color="auto"/>
        <w:left w:val="none" w:sz="0" w:space="0" w:color="auto"/>
        <w:bottom w:val="none" w:sz="0" w:space="0" w:color="auto"/>
        <w:right w:val="none" w:sz="0" w:space="0" w:color="auto"/>
      </w:divBdr>
    </w:div>
    <w:div w:id="20984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62858E-3B1F-C142-98D4-6D65461EF4CD}">
  <we:reference id="wa104124372" version="1.2.0.0" store="de-DE" storeType="OMEX"/>
  <we:alternateReferences>
    <we:reference id="wa104124372" version="1.2.0.0" store="wa1041243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A7DBE-ADCC-4D64-92DB-FC84FD2A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4207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Klug</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Wohlfarth Andrea</dc:creator>
  <cp:lastModifiedBy>Haim Katharina</cp:lastModifiedBy>
  <cp:revision>3</cp:revision>
  <cp:lastPrinted>2018-07-02T14:30:00Z</cp:lastPrinted>
  <dcterms:created xsi:type="dcterms:W3CDTF">2018-10-24T08:41:00Z</dcterms:created>
  <dcterms:modified xsi:type="dcterms:W3CDTF">2018-10-24T08:53:00Z</dcterms:modified>
</cp:coreProperties>
</file>