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CE" w:rsidRPr="00AC66E9" w:rsidRDefault="00BB24C9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Asmet realiza su automatización con TGW</w:t>
      </w:r>
      <w:r w:rsidR="00AC66E9">
        <w:rPr>
          <w:rFonts w:cs="Arial"/>
          <w:b/>
          <w:sz w:val="28"/>
          <w:szCs w:val="28"/>
          <w:lang w:val="es-ES"/>
        </w:rPr>
        <w:t xml:space="preserve">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E171CE" w:rsidRPr="00AC66E9" w:rsidRDefault="00E171CE" w:rsidP="00E171CE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223299" w:rsidRPr="00223299" w:rsidRDefault="007B022B" w:rsidP="009A1846">
      <w:pPr>
        <w:pStyle w:val="ListParagraph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Campeón polaco opta por un centro de distribución automatizado </w:t>
      </w:r>
      <w:r w:rsidR="00223299" w:rsidRPr="00223299">
        <w:rPr>
          <w:rFonts w:cs="Arial"/>
          <w:b/>
          <w:sz w:val="24"/>
          <w:szCs w:val="24"/>
          <w:lang w:val="es-ES"/>
        </w:rPr>
        <w:t xml:space="preserve"> </w:t>
      </w:r>
    </w:p>
    <w:p w:rsidR="00E171CE" w:rsidRPr="00DA2884" w:rsidRDefault="007B022B" w:rsidP="009A1846">
      <w:pPr>
        <w:pStyle w:val="ListParagraph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Reducción significativa en los tiempos de preparación de pedidos</w:t>
      </w:r>
      <w:r w:rsidR="00DA2884" w:rsidRPr="00DA2884">
        <w:rPr>
          <w:rFonts w:cs="Arial"/>
          <w:b/>
          <w:sz w:val="24"/>
          <w:szCs w:val="24"/>
          <w:lang w:val="es-ES"/>
        </w:rPr>
        <w:t xml:space="preserve"> </w:t>
      </w:r>
    </w:p>
    <w:p w:rsidR="00E171CE" w:rsidRPr="00EE73B3" w:rsidRDefault="007B022B" w:rsidP="00E171CE">
      <w:pPr>
        <w:pStyle w:val="ListParagraph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TGW </w:t>
      </w:r>
      <w:r w:rsidR="00EB06CE">
        <w:rPr>
          <w:rFonts w:cs="Arial"/>
          <w:b/>
          <w:sz w:val="24"/>
          <w:szCs w:val="24"/>
          <w:lang w:val="es-ES"/>
        </w:rPr>
        <w:t xml:space="preserve">como </w:t>
      </w:r>
      <w:r>
        <w:rPr>
          <w:rFonts w:cs="Arial"/>
          <w:b/>
          <w:sz w:val="24"/>
          <w:szCs w:val="24"/>
          <w:lang w:val="es-ES"/>
        </w:rPr>
        <w:t>socio estratégico a largo plazo</w:t>
      </w:r>
      <w:r w:rsidR="00EE73B3" w:rsidRPr="00EE73B3">
        <w:rPr>
          <w:rFonts w:cs="Arial"/>
          <w:b/>
          <w:sz w:val="24"/>
          <w:szCs w:val="24"/>
          <w:lang w:val="es-ES"/>
        </w:rPr>
        <w:t xml:space="preserve"> </w:t>
      </w:r>
      <w:r w:rsidR="00E171CE" w:rsidRPr="00EE73B3">
        <w:rPr>
          <w:rFonts w:cs="Arial"/>
          <w:b/>
          <w:sz w:val="24"/>
          <w:szCs w:val="24"/>
          <w:lang w:val="es-ES"/>
        </w:rPr>
        <w:t xml:space="preserve"> </w:t>
      </w:r>
    </w:p>
    <w:p w:rsidR="00E171CE" w:rsidRPr="00EB06CE" w:rsidRDefault="00E171CE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1870DC" w:rsidRDefault="00194111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Asmet </w:t>
      </w:r>
      <w:r w:rsidR="0033354F">
        <w:rPr>
          <w:rFonts w:cs="Arial"/>
          <w:b/>
          <w:szCs w:val="20"/>
          <w:lang w:val="es-ES"/>
        </w:rPr>
        <w:t xml:space="preserve">Sp. z.o.o Sp.k., uno de </w:t>
      </w:r>
      <w:r w:rsidR="00EB06CE">
        <w:rPr>
          <w:rFonts w:cs="Arial"/>
          <w:b/>
          <w:szCs w:val="20"/>
          <w:lang w:val="es-ES"/>
        </w:rPr>
        <w:t>los mayoristas</w:t>
      </w:r>
      <w:r w:rsidR="003B57BC">
        <w:rPr>
          <w:rFonts w:cs="Arial"/>
          <w:b/>
          <w:szCs w:val="20"/>
          <w:lang w:val="es-ES"/>
        </w:rPr>
        <w:t xml:space="preserve"> principales y fabric</w:t>
      </w:r>
      <w:r w:rsidR="00A44431">
        <w:rPr>
          <w:rFonts w:cs="Arial"/>
          <w:b/>
          <w:szCs w:val="20"/>
          <w:lang w:val="es-ES"/>
        </w:rPr>
        <w:t xml:space="preserve">antes de tornillos especiales, ha galardonado a TGW con la consultoría logística y construcción de un nuevo centro logístico automatizado </w:t>
      </w:r>
      <w:r w:rsidR="001870DC">
        <w:rPr>
          <w:rFonts w:cs="Arial"/>
          <w:b/>
          <w:szCs w:val="20"/>
          <w:lang w:val="es-ES"/>
        </w:rPr>
        <w:t xml:space="preserve">en Moszna – Parcela, cerca de Warsaw. El proyecto </w:t>
      </w:r>
      <w:r w:rsidR="00B33D65">
        <w:rPr>
          <w:rFonts w:cs="Arial"/>
          <w:b/>
          <w:szCs w:val="20"/>
          <w:lang w:val="es-ES"/>
        </w:rPr>
        <w:t xml:space="preserve">estará acabado para finales </w:t>
      </w:r>
      <w:r w:rsidR="001870DC">
        <w:rPr>
          <w:rFonts w:cs="Arial"/>
          <w:b/>
          <w:szCs w:val="20"/>
          <w:lang w:val="es-ES"/>
        </w:rPr>
        <w:t>de marzo 2020.</w:t>
      </w:r>
    </w:p>
    <w:p w:rsidR="001870DC" w:rsidRDefault="001870DC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2A0EEA" w:rsidRDefault="007F4C45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7F4C45">
        <w:rPr>
          <w:rFonts w:cs="Arial"/>
          <w:szCs w:val="20"/>
          <w:lang w:val="es-ES"/>
        </w:rPr>
        <w:t xml:space="preserve">Con </w:t>
      </w:r>
      <w:r w:rsidR="002A4325">
        <w:rPr>
          <w:rFonts w:cs="Arial"/>
          <w:szCs w:val="20"/>
          <w:lang w:val="es-ES"/>
        </w:rPr>
        <w:t>la instalaci</w:t>
      </w:r>
      <w:r w:rsidR="00464CEA">
        <w:rPr>
          <w:rFonts w:cs="Arial"/>
          <w:szCs w:val="20"/>
          <w:lang w:val="es-ES"/>
        </w:rPr>
        <w:t xml:space="preserve">ón del nuevo centro logístico automatizado, el campeón polaco </w:t>
      </w:r>
      <w:r w:rsidR="004D2C6D">
        <w:rPr>
          <w:rFonts w:cs="Arial"/>
          <w:szCs w:val="20"/>
          <w:lang w:val="es-ES"/>
        </w:rPr>
        <w:t xml:space="preserve">busca particularmente incrementar el nivel de servicio al cliente </w:t>
      </w:r>
      <w:r w:rsidR="00F315C0">
        <w:rPr>
          <w:rFonts w:cs="Arial"/>
          <w:szCs w:val="20"/>
          <w:lang w:val="es-ES"/>
        </w:rPr>
        <w:t xml:space="preserve">y capacidad de almacenaje para un mayor crecimiento global. </w:t>
      </w:r>
      <w:r w:rsidR="001C4794">
        <w:rPr>
          <w:rFonts w:cs="Arial"/>
          <w:szCs w:val="20"/>
          <w:lang w:val="es-ES"/>
        </w:rPr>
        <w:t>Además de la re</w:t>
      </w:r>
      <w:r w:rsidR="00345E2E">
        <w:rPr>
          <w:rFonts w:cs="Arial"/>
          <w:szCs w:val="20"/>
          <w:lang w:val="es-ES"/>
        </w:rPr>
        <w:t xml:space="preserve">ducción </w:t>
      </w:r>
      <w:r w:rsidR="001C4794">
        <w:rPr>
          <w:rFonts w:cs="Arial"/>
          <w:szCs w:val="20"/>
          <w:lang w:val="es-ES"/>
        </w:rPr>
        <w:t xml:space="preserve">significativa de </w:t>
      </w:r>
      <w:r w:rsidR="00772037">
        <w:rPr>
          <w:rFonts w:cs="Arial"/>
          <w:szCs w:val="20"/>
          <w:lang w:val="es-ES"/>
        </w:rPr>
        <w:t>los tiempos de preparación de pedidos de hasta 4 horas previamente, a solo 60 minutos</w:t>
      </w:r>
      <w:r w:rsidR="006D3599">
        <w:rPr>
          <w:rFonts w:cs="Arial"/>
          <w:szCs w:val="20"/>
          <w:lang w:val="es-ES"/>
        </w:rPr>
        <w:t xml:space="preserve"> como máximo</w:t>
      </w:r>
      <w:r w:rsidR="00772037">
        <w:rPr>
          <w:rFonts w:cs="Arial"/>
          <w:szCs w:val="20"/>
          <w:lang w:val="es-ES"/>
        </w:rPr>
        <w:t xml:space="preserve">, la última recepción de pedido </w:t>
      </w:r>
      <w:r w:rsidR="002D319B">
        <w:rPr>
          <w:rFonts w:cs="Arial"/>
          <w:szCs w:val="20"/>
          <w:lang w:val="es-ES"/>
        </w:rPr>
        <w:t xml:space="preserve">ahora </w:t>
      </w:r>
      <w:r w:rsidR="00772037">
        <w:rPr>
          <w:rFonts w:cs="Arial"/>
          <w:szCs w:val="20"/>
          <w:lang w:val="es-ES"/>
        </w:rPr>
        <w:t xml:space="preserve">puede ser desplazada desde el mediodía a 3pm. </w:t>
      </w:r>
      <w:r w:rsidR="004C6217">
        <w:rPr>
          <w:rFonts w:cs="Arial"/>
          <w:szCs w:val="20"/>
          <w:lang w:val="es-ES"/>
        </w:rPr>
        <w:t xml:space="preserve">También, </w:t>
      </w:r>
      <w:r w:rsidR="00772037">
        <w:rPr>
          <w:rFonts w:cs="Arial"/>
          <w:szCs w:val="20"/>
          <w:lang w:val="es-ES"/>
        </w:rPr>
        <w:t xml:space="preserve">el uso de la automatización neutraliza </w:t>
      </w:r>
      <w:r w:rsidR="002A0EEA">
        <w:rPr>
          <w:rFonts w:cs="Arial"/>
          <w:szCs w:val="20"/>
          <w:lang w:val="es-ES"/>
        </w:rPr>
        <w:t xml:space="preserve">la escasez de mano de obra que existe actualmente en la región de Warsaw. </w:t>
      </w:r>
    </w:p>
    <w:p w:rsidR="002A0EEA" w:rsidRDefault="002A0EEA" w:rsidP="00D967E2">
      <w:pPr>
        <w:spacing w:line="240" w:lineRule="auto"/>
        <w:ind w:left="0" w:right="1843"/>
        <w:rPr>
          <w:rFonts w:cs="Arial"/>
          <w:b/>
          <w:szCs w:val="20"/>
          <w:lang w:val="es-ES"/>
        </w:rPr>
      </w:pPr>
    </w:p>
    <w:p w:rsidR="00D967E2" w:rsidRPr="00D967E2" w:rsidRDefault="002A0EEA" w:rsidP="00D967E2">
      <w:pPr>
        <w:spacing w:line="24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Una </w:t>
      </w:r>
      <w:r w:rsidR="00D967E2" w:rsidRPr="00D967E2">
        <w:rPr>
          <w:rFonts w:cs="Arial"/>
          <w:b/>
          <w:szCs w:val="20"/>
          <w:lang w:val="es-ES"/>
        </w:rPr>
        <w:t>solución</w:t>
      </w:r>
      <w:r>
        <w:rPr>
          <w:rFonts w:cs="Arial"/>
          <w:b/>
          <w:szCs w:val="20"/>
          <w:lang w:val="es-ES"/>
        </w:rPr>
        <w:t xml:space="preserve"> altamente dinámica </w:t>
      </w:r>
      <w:r w:rsidR="00D967E2" w:rsidRPr="00D967E2">
        <w:rPr>
          <w:rFonts w:cs="Arial"/>
          <w:b/>
          <w:szCs w:val="20"/>
          <w:lang w:val="es-ES"/>
        </w:rPr>
        <w:t xml:space="preserve"> </w:t>
      </w:r>
    </w:p>
    <w:p w:rsidR="00D967E2" w:rsidRDefault="00D967E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7547D7" w:rsidRDefault="00F23EDC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El pedido incluye la construcci</w:t>
      </w:r>
      <w:r w:rsidR="007A4C13">
        <w:rPr>
          <w:rFonts w:cs="Arial"/>
          <w:szCs w:val="20"/>
          <w:lang w:val="es-ES"/>
        </w:rPr>
        <w:t>ón de un nuevo Centro de Distribución</w:t>
      </w:r>
      <w:r w:rsidR="008A1DC6">
        <w:rPr>
          <w:rFonts w:cs="Arial"/>
          <w:szCs w:val="20"/>
          <w:lang w:val="es-ES"/>
        </w:rPr>
        <w:t xml:space="preserve"> basado en </w:t>
      </w:r>
      <w:r w:rsidR="007547D7">
        <w:rPr>
          <w:rFonts w:cs="Arial"/>
          <w:szCs w:val="20"/>
          <w:lang w:val="es-ES"/>
        </w:rPr>
        <w:t xml:space="preserve">un </w:t>
      </w:r>
      <w:r w:rsidR="008A1DC6">
        <w:rPr>
          <w:rFonts w:cs="Arial"/>
          <w:szCs w:val="20"/>
          <w:lang w:val="es-ES"/>
        </w:rPr>
        <w:t xml:space="preserve">sistema de shuttle, </w:t>
      </w:r>
      <w:r w:rsidR="00AE6EAD">
        <w:rPr>
          <w:rFonts w:cs="Arial"/>
          <w:szCs w:val="20"/>
          <w:lang w:val="es-ES"/>
        </w:rPr>
        <w:t>la integración de</w:t>
      </w:r>
      <w:r w:rsidR="007547D7">
        <w:rPr>
          <w:rFonts w:cs="Arial"/>
          <w:szCs w:val="20"/>
          <w:lang w:val="es-ES"/>
        </w:rPr>
        <w:t xml:space="preserve"> estaciones de trabajo multifuncionales para el picking de pedidos y empaquetado, como también la creación de zonas amplias para la recepción y expedición, y un pulmón </w:t>
      </w:r>
      <w:r w:rsidR="00086385">
        <w:rPr>
          <w:rFonts w:cs="Arial"/>
          <w:szCs w:val="20"/>
          <w:lang w:val="es-ES"/>
        </w:rPr>
        <w:t>para c</w:t>
      </w:r>
      <w:r w:rsidR="007547D7">
        <w:rPr>
          <w:rFonts w:cs="Arial"/>
          <w:szCs w:val="20"/>
          <w:lang w:val="es-ES"/>
        </w:rPr>
        <w:t>ubetas vacías.</w:t>
      </w:r>
    </w:p>
    <w:p w:rsidR="007547D7" w:rsidRDefault="007547D7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BF14FA" w:rsidRDefault="007547D7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El corazón</w:t>
      </w:r>
      <w:r w:rsidR="003E12C8">
        <w:rPr>
          <w:rFonts w:cs="Arial"/>
          <w:szCs w:val="20"/>
          <w:lang w:val="es-ES"/>
        </w:rPr>
        <w:t xml:space="preserve"> de la nueva solución logística</w:t>
      </w:r>
      <w:r w:rsidR="00593FE1">
        <w:rPr>
          <w:rFonts w:cs="Arial"/>
          <w:szCs w:val="20"/>
          <w:lang w:val="es-ES"/>
        </w:rPr>
        <w:t xml:space="preserve"> es un sistema de shuttle de 3 pasillos parc</w:t>
      </w:r>
      <w:r w:rsidR="009E6530">
        <w:rPr>
          <w:rFonts w:cs="Arial"/>
          <w:szCs w:val="20"/>
          <w:lang w:val="es-ES"/>
        </w:rPr>
        <w:t xml:space="preserve">ialmente equipado, con un total de 60,000 posiciones para el almacenaje de cubetas. </w:t>
      </w:r>
      <w:r w:rsidR="001779E7">
        <w:rPr>
          <w:rFonts w:cs="Arial"/>
          <w:szCs w:val="20"/>
          <w:lang w:val="es-ES"/>
        </w:rPr>
        <w:t>Como sistema de mercancías a persona, e</w:t>
      </w:r>
      <w:r w:rsidR="009E6530">
        <w:rPr>
          <w:rFonts w:cs="Arial"/>
          <w:szCs w:val="20"/>
          <w:lang w:val="es-ES"/>
        </w:rPr>
        <w:t>l shuttle de 32 niveles</w:t>
      </w:r>
      <w:r w:rsidR="001779E7">
        <w:rPr>
          <w:rFonts w:cs="Arial"/>
          <w:szCs w:val="20"/>
          <w:lang w:val="es-ES"/>
        </w:rPr>
        <w:t xml:space="preserve"> garantiza</w:t>
      </w:r>
      <w:r w:rsidR="008A4B3B">
        <w:rPr>
          <w:rFonts w:cs="Arial"/>
          <w:szCs w:val="20"/>
          <w:lang w:val="es-ES"/>
        </w:rPr>
        <w:t xml:space="preserve"> mucha más eficiencia</w:t>
      </w:r>
      <w:r w:rsidR="001779E7">
        <w:rPr>
          <w:rFonts w:cs="Arial"/>
          <w:szCs w:val="20"/>
          <w:lang w:val="es-ES"/>
        </w:rPr>
        <w:t xml:space="preserve"> que el picking de pedidos manual utilizado por Asmet anteriormente. El sistema altamente dinámico </w:t>
      </w:r>
      <w:r w:rsidR="008A6783">
        <w:rPr>
          <w:rFonts w:cs="Arial"/>
          <w:szCs w:val="20"/>
          <w:lang w:val="es-ES"/>
        </w:rPr>
        <w:t xml:space="preserve">permite el almacenaje de cubetas de </w:t>
      </w:r>
      <w:r w:rsidR="003742FE">
        <w:rPr>
          <w:rFonts w:cs="Arial"/>
          <w:szCs w:val="20"/>
          <w:lang w:val="es-ES"/>
        </w:rPr>
        <w:t>origen, un suministro secuenci</w:t>
      </w:r>
      <w:r w:rsidR="0084708D">
        <w:rPr>
          <w:rFonts w:cs="Arial"/>
          <w:szCs w:val="20"/>
          <w:lang w:val="es-ES"/>
        </w:rPr>
        <w:t>ado a las estaciones de picking automatizadas</w:t>
      </w:r>
      <w:r w:rsidR="00BF14FA">
        <w:rPr>
          <w:rFonts w:cs="Arial"/>
          <w:szCs w:val="20"/>
          <w:lang w:val="es-ES"/>
        </w:rPr>
        <w:t>,</w:t>
      </w:r>
      <w:r w:rsidR="0084708D">
        <w:rPr>
          <w:rFonts w:cs="Arial"/>
          <w:szCs w:val="20"/>
          <w:lang w:val="es-ES"/>
        </w:rPr>
        <w:t xml:space="preserve"> para Kanban y pedidos restantes</w:t>
      </w:r>
      <w:r w:rsidR="00BF14FA">
        <w:rPr>
          <w:rFonts w:cs="Arial"/>
          <w:szCs w:val="20"/>
          <w:lang w:val="es-ES"/>
        </w:rPr>
        <w:t>,</w:t>
      </w:r>
      <w:r w:rsidR="0084708D">
        <w:rPr>
          <w:rFonts w:cs="Arial"/>
          <w:szCs w:val="20"/>
          <w:lang w:val="es-ES"/>
        </w:rPr>
        <w:t xml:space="preserve"> como también un amortiguador para los pedidos de clientes preparados.</w:t>
      </w:r>
    </w:p>
    <w:p w:rsidR="00BF14FA" w:rsidRDefault="00BF14FA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BF14FA" w:rsidRDefault="0084708D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  <w:r w:rsidR="001779E7">
        <w:rPr>
          <w:rFonts w:cs="Arial"/>
          <w:szCs w:val="20"/>
          <w:lang w:val="es-ES"/>
        </w:rPr>
        <w:t xml:space="preserve"> </w:t>
      </w:r>
    </w:p>
    <w:p w:rsidR="00AB0ECC" w:rsidRDefault="00AB0ECC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386447" w:rsidRDefault="00BF14FA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“Para el cliente</w:t>
      </w:r>
      <w:r w:rsidR="00694BDD">
        <w:rPr>
          <w:rFonts w:cs="Arial"/>
          <w:szCs w:val="20"/>
          <w:lang w:val="es-ES"/>
        </w:rPr>
        <w:t>, la nueva solución ofrece mucha más flexibilidad</w:t>
      </w:r>
      <w:r w:rsidR="00AB0ECC">
        <w:rPr>
          <w:rFonts w:cs="Arial"/>
          <w:szCs w:val="20"/>
          <w:lang w:val="es-ES"/>
        </w:rPr>
        <w:t xml:space="preserve"> y servicio. Primero, de una gama de 80,000 productos, un promedio de más de 1,000 pedidos serán seleccionados cada día</w:t>
      </w:r>
      <w:r w:rsidR="00E936B8">
        <w:rPr>
          <w:rFonts w:cs="Arial"/>
          <w:szCs w:val="20"/>
          <w:lang w:val="es-ES"/>
        </w:rPr>
        <w:t xml:space="preserve"> en 6 días de la semana, y enviados a clientes internacionales. Esto corresponde a un incremento en las líneas de pedido</w:t>
      </w:r>
      <w:r w:rsidR="00CC513A">
        <w:rPr>
          <w:rFonts w:cs="Arial"/>
          <w:szCs w:val="20"/>
          <w:lang w:val="es-ES"/>
        </w:rPr>
        <w:t xml:space="preserve"> en un factor de 5. Segundo, </w:t>
      </w:r>
      <w:r w:rsidR="00D82F3D">
        <w:rPr>
          <w:rFonts w:cs="Arial"/>
          <w:szCs w:val="20"/>
          <w:lang w:val="es-ES"/>
        </w:rPr>
        <w:t xml:space="preserve">el </w:t>
      </w:r>
      <w:r w:rsidR="00D37CB0">
        <w:rPr>
          <w:rFonts w:cs="Arial"/>
          <w:szCs w:val="20"/>
          <w:lang w:val="es-ES"/>
        </w:rPr>
        <w:t xml:space="preserve">posterior </w:t>
      </w:r>
      <w:r w:rsidR="00CC513A">
        <w:rPr>
          <w:rFonts w:cs="Arial"/>
          <w:szCs w:val="20"/>
          <w:lang w:val="es-ES"/>
        </w:rPr>
        <w:t xml:space="preserve">despacho de pedidos y tiempos de preparación de pedidos más cortos, </w:t>
      </w:r>
      <w:r w:rsidR="00D37CB0">
        <w:rPr>
          <w:rFonts w:cs="Arial"/>
          <w:szCs w:val="20"/>
          <w:lang w:val="es-ES"/>
        </w:rPr>
        <w:t>permiten un</w:t>
      </w:r>
      <w:r w:rsidR="00C43438">
        <w:rPr>
          <w:rFonts w:cs="Arial"/>
          <w:szCs w:val="20"/>
          <w:lang w:val="es-ES"/>
        </w:rPr>
        <w:t>a</w:t>
      </w:r>
      <w:r w:rsidR="00D37CB0">
        <w:rPr>
          <w:rFonts w:cs="Arial"/>
          <w:szCs w:val="20"/>
          <w:lang w:val="es-ES"/>
        </w:rPr>
        <w:t xml:space="preserve"> mejor consolidación de los pedidos individuales, </w:t>
      </w:r>
      <w:r w:rsidR="00C43438">
        <w:rPr>
          <w:rFonts w:cs="Arial"/>
          <w:szCs w:val="20"/>
          <w:lang w:val="es-ES"/>
        </w:rPr>
        <w:t>reduciendo considerablemente el número de empaques y costes de transporte”</w:t>
      </w:r>
      <w:r w:rsidR="00386447">
        <w:rPr>
          <w:rFonts w:cs="Arial"/>
          <w:szCs w:val="20"/>
          <w:lang w:val="es-ES"/>
        </w:rPr>
        <w:t xml:space="preserve">, indica Markus Augeneder, CEO </w:t>
      </w:r>
      <w:r w:rsidR="00D82F3D">
        <w:rPr>
          <w:rFonts w:cs="Arial"/>
          <w:szCs w:val="20"/>
          <w:lang w:val="es-ES"/>
        </w:rPr>
        <w:t xml:space="preserve">para </w:t>
      </w:r>
      <w:r w:rsidR="00386447">
        <w:rPr>
          <w:rFonts w:cs="Arial"/>
          <w:szCs w:val="20"/>
          <w:lang w:val="es-ES"/>
        </w:rPr>
        <w:t>Europa Central</w:t>
      </w:r>
      <w:r w:rsidR="00D82F3D">
        <w:rPr>
          <w:rFonts w:cs="Arial"/>
          <w:szCs w:val="20"/>
          <w:lang w:val="es-ES"/>
        </w:rPr>
        <w:t xml:space="preserve"> de</w:t>
      </w:r>
      <w:r w:rsidR="00386447">
        <w:rPr>
          <w:rFonts w:cs="Arial"/>
          <w:szCs w:val="20"/>
          <w:lang w:val="es-ES"/>
        </w:rPr>
        <w:t xml:space="preserve"> TGW Systems Integration.</w:t>
      </w:r>
    </w:p>
    <w:p w:rsidR="00386447" w:rsidRDefault="00386447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344DE8" w:rsidRDefault="007E4BE3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El contrato de servicio con Asmet incluye la inspección comprobada de TGW junto</w:t>
      </w:r>
      <w:r w:rsidR="00AF2706">
        <w:rPr>
          <w:rFonts w:cs="Arial"/>
          <w:szCs w:val="20"/>
          <w:lang w:val="es-ES"/>
        </w:rPr>
        <w:t xml:space="preserve"> con servicios de mantenimiento, como también </w:t>
      </w:r>
      <w:r w:rsidR="00287AC7">
        <w:rPr>
          <w:rFonts w:cs="Arial"/>
          <w:szCs w:val="20"/>
          <w:lang w:val="es-ES"/>
        </w:rPr>
        <w:t>una línea telefónica de apoyo</w:t>
      </w:r>
      <w:r w:rsidR="003A3D40">
        <w:rPr>
          <w:rFonts w:cs="Arial"/>
          <w:szCs w:val="20"/>
          <w:lang w:val="es-ES"/>
        </w:rPr>
        <w:t xml:space="preserve"> </w:t>
      </w:r>
      <w:r w:rsidR="00614DE7">
        <w:rPr>
          <w:rFonts w:cs="Arial"/>
          <w:szCs w:val="20"/>
          <w:lang w:val="es-ES"/>
        </w:rPr>
        <w:t xml:space="preserve">durante </w:t>
      </w:r>
      <w:r w:rsidR="003A3D40">
        <w:rPr>
          <w:rFonts w:cs="Arial"/>
          <w:szCs w:val="20"/>
          <w:lang w:val="es-ES"/>
        </w:rPr>
        <w:t xml:space="preserve">6 días laborables. </w:t>
      </w:r>
      <w:r w:rsidR="00614DE7">
        <w:rPr>
          <w:rFonts w:cs="Arial"/>
          <w:szCs w:val="20"/>
          <w:lang w:val="es-ES"/>
        </w:rPr>
        <w:t xml:space="preserve">El contrato tiene una duración de 2 años, con opción a renovación por otros 24 meses. Tanto el paquete de servicio como la tecnología </w:t>
      </w:r>
      <w:r w:rsidR="006156C8">
        <w:rPr>
          <w:rFonts w:cs="Arial"/>
          <w:szCs w:val="20"/>
          <w:lang w:val="es-ES"/>
        </w:rPr>
        <w:t>comprobada de mínimo m</w:t>
      </w:r>
      <w:r w:rsidR="00344DE8">
        <w:rPr>
          <w:rFonts w:cs="Arial"/>
          <w:szCs w:val="20"/>
          <w:lang w:val="es-ES"/>
        </w:rPr>
        <w:t xml:space="preserve">antenimiento de TGW, garantizan una alta disponibilidad y seguridad operacional. Por lo tanto, Asmet está bien posicionado para el futuro. </w:t>
      </w:r>
    </w:p>
    <w:p w:rsidR="00344DE8" w:rsidRDefault="00344DE8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344DE8" w:rsidRPr="003E0DC6" w:rsidRDefault="00344DE8" w:rsidP="00AA7388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3E0DC6">
        <w:rPr>
          <w:rFonts w:cs="Arial"/>
          <w:b/>
          <w:szCs w:val="20"/>
          <w:lang w:val="es-ES"/>
        </w:rPr>
        <w:t>Inversión</w:t>
      </w:r>
      <w:r w:rsidR="0082204B">
        <w:rPr>
          <w:rFonts w:cs="Arial"/>
          <w:b/>
          <w:szCs w:val="20"/>
          <w:lang w:val="es-ES"/>
        </w:rPr>
        <w:t xml:space="preserve"> singular</w:t>
      </w:r>
      <w:r w:rsidRPr="003E0DC6">
        <w:rPr>
          <w:rFonts w:cs="Arial"/>
          <w:b/>
          <w:szCs w:val="20"/>
          <w:lang w:val="es-ES"/>
        </w:rPr>
        <w:t xml:space="preserve"> </w:t>
      </w:r>
      <w:r w:rsidR="009F2E2C">
        <w:rPr>
          <w:rFonts w:cs="Arial"/>
          <w:b/>
          <w:szCs w:val="20"/>
          <w:lang w:val="es-ES"/>
        </w:rPr>
        <w:t xml:space="preserve">más grande </w:t>
      </w:r>
      <w:r w:rsidRPr="003E0DC6">
        <w:rPr>
          <w:rFonts w:cs="Arial"/>
          <w:b/>
          <w:szCs w:val="20"/>
          <w:lang w:val="es-ES"/>
        </w:rPr>
        <w:t>en la historia de Asmet</w:t>
      </w:r>
    </w:p>
    <w:p w:rsidR="009F2E2C" w:rsidRDefault="0082204B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Andrzej Sajnaga, propietario y CEO del grupo Asmet “El nuevo centro logístico automatizado es la inversión singular más grande a la fecha en nuestra historia.</w:t>
      </w:r>
      <w:r w:rsidR="00F86610">
        <w:rPr>
          <w:rFonts w:cs="Arial"/>
          <w:szCs w:val="20"/>
          <w:lang w:val="es-ES"/>
        </w:rPr>
        <w:t xml:space="preserve"> En la fase de planeación comparamos varios proveedores. </w:t>
      </w:r>
      <w:r w:rsidR="00323F79">
        <w:rPr>
          <w:rFonts w:cs="Arial"/>
          <w:szCs w:val="20"/>
          <w:lang w:val="es-ES"/>
        </w:rPr>
        <w:t xml:space="preserve">La consultoría cualificada y solución </w:t>
      </w:r>
      <w:r w:rsidR="00B5316E">
        <w:rPr>
          <w:rFonts w:cs="Arial"/>
          <w:szCs w:val="20"/>
          <w:lang w:val="es-ES"/>
        </w:rPr>
        <w:t xml:space="preserve">del equipo internacional de TGW nos convencieron inmediatamente. Sin embargo, el factor decisivo </w:t>
      </w:r>
      <w:r w:rsidR="00957F5C">
        <w:rPr>
          <w:rFonts w:cs="Arial"/>
          <w:szCs w:val="20"/>
          <w:lang w:val="es-ES"/>
        </w:rPr>
        <w:t xml:space="preserve">fue que </w:t>
      </w:r>
      <w:r w:rsidR="00E81DBF">
        <w:rPr>
          <w:rFonts w:cs="Arial"/>
          <w:szCs w:val="20"/>
          <w:lang w:val="es-ES"/>
        </w:rPr>
        <w:t>no solo buscábamos un proveedor; v</w:t>
      </w:r>
      <w:r w:rsidR="00957F5C">
        <w:rPr>
          <w:rFonts w:cs="Arial"/>
          <w:szCs w:val="20"/>
          <w:lang w:val="es-ES"/>
        </w:rPr>
        <w:t xml:space="preserve">alores iguales con la gerencia y equipo como también una relación </w:t>
      </w:r>
      <w:r w:rsidR="00A26CB1">
        <w:rPr>
          <w:rFonts w:cs="Arial"/>
          <w:szCs w:val="20"/>
          <w:lang w:val="es-ES"/>
        </w:rPr>
        <w:t>fiable son importantes para nosotros. Tengo la certeza que TGW será un socio</w:t>
      </w:r>
      <w:r w:rsidR="00137429">
        <w:rPr>
          <w:rFonts w:cs="Arial"/>
          <w:szCs w:val="20"/>
          <w:lang w:val="es-ES"/>
        </w:rPr>
        <w:t xml:space="preserve"> estratégico y fundamental a largo plazo para nosotros”. </w:t>
      </w:r>
      <w:r w:rsidR="00323F79">
        <w:rPr>
          <w:rFonts w:cs="Arial"/>
          <w:szCs w:val="20"/>
          <w:lang w:val="es-ES"/>
        </w:rPr>
        <w:t xml:space="preserve"> </w:t>
      </w:r>
      <w:r>
        <w:rPr>
          <w:rFonts w:cs="Arial"/>
          <w:szCs w:val="20"/>
          <w:lang w:val="es-ES"/>
        </w:rPr>
        <w:t xml:space="preserve"> </w:t>
      </w:r>
    </w:p>
    <w:p w:rsidR="00852C0B" w:rsidRDefault="00344DE8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  <w:r w:rsidR="008A4B3B">
        <w:rPr>
          <w:rFonts w:cs="Arial"/>
          <w:szCs w:val="20"/>
          <w:lang w:val="es-ES"/>
        </w:rPr>
        <w:t xml:space="preserve">   </w:t>
      </w:r>
      <w:r w:rsidR="009E6530">
        <w:rPr>
          <w:rFonts w:cs="Arial"/>
          <w:szCs w:val="20"/>
          <w:lang w:val="es-ES"/>
        </w:rPr>
        <w:t xml:space="preserve">  </w:t>
      </w:r>
      <w:r w:rsidR="00AA7388">
        <w:rPr>
          <w:rFonts w:cs="Arial"/>
          <w:szCs w:val="20"/>
          <w:lang w:val="es-ES"/>
        </w:rPr>
        <w:t xml:space="preserve"> </w:t>
      </w:r>
      <w:r w:rsidR="003E12C8">
        <w:rPr>
          <w:rFonts w:cs="Arial"/>
          <w:szCs w:val="20"/>
          <w:lang w:val="es-ES"/>
        </w:rPr>
        <w:t xml:space="preserve"> </w:t>
      </w:r>
      <w:r w:rsidR="007547D7">
        <w:rPr>
          <w:rFonts w:cs="Arial"/>
          <w:szCs w:val="20"/>
          <w:lang w:val="es-ES"/>
        </w:rPr>
        <w:t xml:space="preserve">   </w:t>
      </w:r>
      <w:r w:rsidR="00AE6EAD">
        <w:rPr>
          <w:rFonts w:cs="Arial"/>
          <w:szCs w:val="20"/>
          <w:lang w:val="es-ES"/>
        </w:rPr>
        <w:t xml:space="preserve"> </w:t>
      </w:r>
      <w:r w:rsidR="008A1DC6">
        <w:rPr>
          <w:rFonts w:cs="Arial"/>
          <w:szCs w:val="20"/>
          <w:lang w:val="es-ES"/>
        </w:rPr>
        <w:t xml:space="preserve"> </w:t>
      </w:r>
      <w:r w:rsidR="007A4C13">
        <w:rPr>
          <w:rFonts w:cs="Arial"/>
          <w:szCs w:val="20"/>
          <w:lang w:val="es-ES"/>
        </w:rPr>
        <w:t xml:space="preserve"> </w:t>
      </w:r>
      <w:r w:rsidR="00852C0B">
        <w:rPr>
          <w:rFonts w:cs="Arial"/>
          <w:szCs w:val="20"/>
          <w:lang w:val="es-ES"/>
        </w:rPr>
        <w:t xml:space="preserve"> </w:t>
      </w:r>
      <w:r w:rsidR="00896CC0">
        <w:rPr>
          <w:rFonts w:cs="Arial"/>
          <w:szCs w:val="20"/>
          <w:lang w:val="es-ES"/>
        </w:rPr>
        <w:t xml:space="preserve">  </w:t>
      </w:r>
      <w:r w:rsidR="008F622D">
        <w:rPr>
          <w:rFonts w:cs="Arial"/>
          <w:szCs w:val="20"/>
          <w:lang w:val="es-ES"/>
        </w:rPr>
        <w:t xml:space="preserve"> </w:t>
      </w:r>
      <w:r w:rsidR="004F1E92">
        <w:rPr>
          <w:rFonts w:cs="Arial"/>
          <w:szCs w:val="20"/>
          <w:lang w:val="es-ES"/>
        </w:rPr>
        <w:t xml:space="preserve"> </w:t>
      </w:r>
      <w:r w:rsidR="001D0FC9">
        <w:rPr>
          <w:rFonts w:cs="Arial"/>
          <w:szCs w:val="20"/>
          <w:lang w:val="es-ES"/>
        </w:rPr>
        <w:t xml:space="preserve"> </w:t>
      </w:r>
    </w:p>
    <w:p w:rsidR="00852C0B" w:rsidRDefault="00420048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D967E2" w:rsidRDefault="001D0FC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E1754C" w:rsidRDefault="00E1754C" w:rsidP="00A21E4A">
      <w:pPr>
        <w:spacing w:line="360" w:lineRule="auto"/>
        <w:ind w:left="0" w:right="1843"/>
        <w:rPr>
          <w:b/>
          <w:sz w:val="22"/>
        </w:rPr>
      </w:pPr>
    </w:p>
    <w:p w:rsidR="00852C0B" w:rsidRPr="00767496" w:rsidRDefault="00852C0B" w:rsidP="00A21E4A">
      <w:pPr>
        <w:spacing w:line="360" w:lineRule="auto"/>
        <w:ind w:left="0" w:right="1843"/>
        <w:rPr>
          <w:b/>
          <w:sz w:val="22"/>
        </w:rPr>
      </w:pPr>
      <w:r>
        <w:rPr>
          <w:b/>
          <w:sz w:val="22"/>
        </w:rPr>
        <w:t>S</w:t>
      </w:r>
      <w:r w:rsidRPr="00767496">
        <w:rPr>
          <w:b/>
          <w:sz w:val="22"/>
        </w:rPr>
        <w:t xml:space="preserve">obre TGW: </w:t>
      </w:r>
    </w:p>
    <w:p w:rsidR="00852C0B" w:rsidRDefault="00852C0B" w:rsidP="00852C0B">
      <w:pPr>
        <w:spacing w:line="240" w:lineRule="auto"/>
        <w:ind w:left="0"/>
        <w:rPr>
          <w:sz w:val="22"/>
        </w:rPr>
      </w:pPr>
    </w:p>
    <w:p w:rsidR="00852C0B" w:rsidRDefault="00852C0B" w:rsidP="00852C0B">
      <w:pPr>
        <w:spacing w:line="360" w:lineRule="auto"/>
        <w:ind w:left="0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producción y realización de centros logísticos complejos – desde la mecatrónica y robótica a soluciones de software y sistemas de control.   </w:t>
      </w:r>
    </w:p>
    <w:p w:rsidR="00C05457" w:rsidRDefault="00C05457" w:rsidP="00852C0B">
      <w:pPr>
        <w:spacing w:line="360" w:lineRule="auto"/>
        <w:ind w:left="0"/>
        <w:rPr>
          <w:rFonts w:cs="Arial"/>
          <w:szCs w:val="20"/>
          <w:lang w:val="es-ES"/>
        </w:rPr>
      </w:pPr>
      <w:bookmarkStart w:id="0" w:name="_GoBack"/>
      <w:bookmarkEnd w:id="0"/>
    </w:p>
    <w:p w:rsidR="00852C0B" w:rsidRPr="00852C0B" w:rsidRDefault="00852C0B" w:rsidP="00852C0B">
      <w:pPr>
        <w:spacing w:line="360" w:lineRule="auto"/>
        <w:ind w:left="0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:rsidR="00560A7A" w:rsidRPr="00852C0B" w:rsidRDefault="00560A7A" w:rsidP="00852C0B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171CE">
        <w:rPr>
          <w:rFonts w:cs="Arial"/>
          <w:szCs w:val="20"/>
          <w:lang w:val="en-AU"/>
        </w:rPr>
        <w:t>Ph</w:t>
      </w:r>
      <w:proofErr w:type="spellEnd"/>
      <w:r w:rsidRPr="00E171CE">
        <w:rPr>
          <w:rFonts w:cs="Arial"/>
          <w:szCs w:val="20"/>
          <w:lang w:val="en-AU"/>
        </w:rPr>
        <w:t>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Contactos de prensa</w:t>
      </w:r>
      <w:r w:rsidR="00560A7A" w:rsidRPr="00E33340">
        <w:rPr>
          <w:rFonts w:cs="Arial"/>
          <w:b/>
          <w:szCs w:val="20"/>
          <w:lang w:val="en-US"/>
        </w:rPr>
        <w:t>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</w:t>
      </w:r>
      <w:proofErr w:type="gramStart"/>
      <w:r w:rsidRPr="00E33340">
        <w:rPr>
          <w:rFonts w:cs="Arial"/>
          <w:szCs w:val="20"/>
          <w:lang w:val="en-AU"/>
        </w:rPr>
        <w:t>.(</w:t>
      </w:r>
      <w:proofErr w:type="gramEnd"/>
      <w:r w:rsidRPr="00E33340">
        <w:rPr>
          <w:rFonts w:cs="Arial"/>
          <w:szCs w:val="20"/>
          <w:lang w:val="en-AU"/>
        </w:rPr>
        <w:t>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48" w:rsidRDefault="00420048" w:rsidP="00764006">
      <w:pPr>
        <w:spacing w:line="240" w:lineRule="auto"/>
      </w:pPr>
      <w:r>
        <w:separator/>
      </w:r>
    </w:p>
  </w:endnote>
  <w:endnote w:type="continuationSeparator" w:id="0">
    <w:p w:rsidR="00420048" w:rsidRDefault="0042004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6903B4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6903B4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48" w:rsidRDefault="00420048" w:rsidP="00764006">
      <w:pPr>
        <w:spacing w:line="240" w:lineRule="auto"/>
      </w:pPr>
      <w:r>
        <w:separator/>
      </w:r>
    </w:p>
  </w:footnote>
  <w:footnote w:type="continuationSeparator" w:id="0">
    <w:p w:rsidR="00420048" w:rsidRDefault="0042004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val="es-ES" w:eastAsia="es-ES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5103"/>
    <w:rsid w:val="000220DD"/>
    <w:rsid w:val="000362EF"/>
    <w:rsid w:val="00045685"/>
    <w:rsid w:val="00045C9C"/>
    <w:rsid w:val="00045F47"/>
    <w:rsid w:val="00047282"/>
    <w:rsid w:val="0007311D"/>
    <w:rsid w:val="00086319"/>
    <w:rsid w:val="00086385"/>
    <w:rsid w:val="00095936"/>
    <w:rsid w:val="00095B8E"/>
    <w:rsid w:val="000A267E"/>
    <w:rsid w:val="000A6CE7"/>
    <w:rsid w:val="000B65C7"/>
    <w:rsid w:val="000C38EE"/>
    <w:rsid w:val="000C53E3"/>
    <w:rsid w:val="000D32EB"/>
    <w:rsid w:val="000E20AF"/>
    <w:rsid w:val="000E33BA"/>
    <w:rsid w:val="000E33FB"/>
    <w:rsid w:val="000E3927"/>
    <w:rsid w:val="000F6CC2"/>
    <w:rsid w:val="000F750C"/>
    <w:rsid w:val="00100BDA"/>
    <w:rsid w:val="00102128"/>
    <w:rsid w:val="00102353"/>
    <w:rsid w:val="00103B57"/>
    <w:rsid w:val="00106523"/>
    <w:rsid w:val="00114EE0"/>
    <w:rsid w:val="0012627D"/>
    <w:rsid w:val="0012782F"/>
    <w:rsid w:val="00131A55"/>
    <w:rsid w:val="001338DB"/>
    <w:rsid w:val="00137429"/>
    <w:rsid w:val="00142015"/>
    <w:rsid w:val="00142599"/>
    <w:rsid w:val="00142D0C"/>
    <w:rsid w:val="00147C5F"/>
    <w:rsid w:val="00152760"/>
    <w:rsid w:val="00155AE9"/>
    <w:rsid w:val="00165988"/>
    <w:rsid w:val="001779E7"/>
    <w:rsid w:val="00183067"/>
    <w:rsid w:val="00185FCF"/>
    <w:rsid w:val="001870DC"/>
    <w:rsid w:val="0019186D"/>
    <w:rsid w:val="00191D7D"/>
    <w:rsid w:val="00194111"/>
    <w:rsid w:val="00195BA1"/>
    <w:rsid w:val="001A6E46"/>
    <w:rsid w:val="001A743C"/>
    <w:rsid w:val="001B10AF"/>
    <w:rsid w:val="001B450B"/>
    <w:rsid w:val="001B46E9"/>
    <w:rsid w:val="001B4929"/>
    <w:rsid w:val="001C1838"/>
    <w:rsid w:val="001C40DE"/>
    <w:rsid w:val="001C4100"/>
    <w:rsid w:val="001C4794"/>
    <w:rsid w:val="001D0FC9"/>
    <w:rsid w:val="001D7887"/>
    <w:rsid w:val="001E0008"/>
    <w:rsid w:val="001E6404"/>
    <w:rsid w:val="001F01F2"/>
    <w:rsid w:val="001F2A46"/>
    <w:rsid w:val="0020344F"/>
    <w:rsid w:val="00203677"/>
    <w:rsid w:val="002177D4"/>
    <w:rsid w:val="00220DA8"/>
    <w:rsid w:val="00223299"/>
    <w:rsid w:val="00223EA8"/>
    <w:rsid w:val="0023663F"/>
    <w:rsid w:val="00245527"/>
    <w:rsid w:val="00250BA2"/>
    <w:rsid w:val="00262F29"/>
    <w:rsid w:val="0026487A"/>
    <w:rsid w:val="00265358"/>
    <w:rsid w:val="00273328"/>
    <w:rsid w:val="002820AB"/>
    <w:rsid w:val="00285C77"/>
    <w:rsid w:val="00287AC7"/>
    <w:rsid w:val="002A0EEA"/>
    <w:rsid w:val="002A1224"/>
    <w:rsid w:val="002A19B6"/>
    <w:rsid w:val="002A3009"/>
    <w:rsid w:val="002A4325"/>
    <w:rsid w:val="002A4E0B"/>
    <w:rsid w:val="002A564B"/>
    <w:rsid w:val="002B01D3"/>
    <w:rsid w:val="002C0149"/>
    <w:rsid w:val="002C36E5"/>
    <w:rsid w:val="002C69C9"/>
    <w:rsid w:val="002D319B"/>
    <w:rsid w:val="002D4089"/>
    <w:rsid w:val="002D6158"/>
    <w:rsid w:val="003107A7"/>
    <w:rsid w:val="00310975"/>
    <w:rsid w:val="00314A98"/>
    <w:rsid w:val="00320511"/>
    <w:rsid w:val="00322CCA"/>
    <w:rsid w:val="00323F79"/>
    <w:rsid w:val="003327F2"/>
    <w:rsid w:val="0033354F"/>
    <w:rsid w:val="003367F4"/>
    <w:rsid w:val="00336D99"/>
    <w:rsid w:val="00343BB5"/>
    <w:rsid w:val="00344DE8"/>
    <w:rsid w:val="00345413"/>
    <w:rsid w:val="00345E2E"/>
    <w:rsid w:val="00345EEB"/>
    <w:rsid w:val="00353A88"/>
    <w:rsid w:val="00365345"/>
    <w:rsid w:val="00367F43"/>
    <w:rsid w:val="0037168C"/>
    <w:rsid w:val="003742FE"/>
    <w:rsid w:val="00377F06"/>
    <w:rsid w:val="00382EDF"/>
    <w:rsid w:val="00385DAF"/>
    <w:rsid w:val="00386447"/>
    <w:rsid w:val="00386B3D"/>
    <w:rsid w:val="0039221F"/>
    <w:rsid w:val="00393670"/>
    <w:rsid w:val="003937AD"/>
    <w:rsid w:val="003A1305"/>
    <w:rsid w:val="003A35D1"/>
    <w:rsid w:val="003A3D40"/>
    <w:rsid w:val="003A4F91"/>
    <w:rsid w:val="003A5CDA"/>
    <w:rsid w:val="003A6D30"/>
    <w:rsid w:val="003B2F92"/>
    <w:rsid w:val="003B39A1"/>
    <w:rsid w:val="003B47D3"/>
    <w:rsid w:val="003B509C"/>
    <w:rsid w:val="003B5271"/>
    <w:rsid w:val="003B57BC"/>
    <w:rsid w:val="003B62B4"/>
    <w:rsid w:val="003B7A94"/>
    <w:rsid w:val="003C1722"/>
    <w:rsid w:val="003E0DC6"/>
    <w:rsid w:val="003E12C8"/>
    <w:rsid w:val="003E1FFC"/>
    <w:rsid w:val="003E3F4D"/>
    <w:rsid w:val="003E6164"/>
    <w:rsid w:val="004022C2"/>
    <w:rsid w:val="004104A8"/>
    <w:rsid w:val="00420048"/>
    <w:rsid w:val="00421BE2"/>
    <w:rsid w:val="004242C5"/>
    <w:rsid w:val="004265B6"/>
    <w:rsid w:val="004272DB"/>
    <w:rsid w:val="00427466"/>
    <w:rsid w:val="004277EE"/>
    <w:rsid w:val="00431015"/>
    <w:rsid w:val="004317EC"/>
    <w:rsid w:val="0043387C"/>
    <w:rsid w:val="00440DC9"/>
    <w:rsid w:val="00451FDA"/>
    <w:rsid w:val="00456A9F"/>
    <w:rsid w:val="004610E8"/>
    <w:rsid w:val="00462574"/>
    <w:rsid w:val="00463BC2"/>
    <w:rsid w:val="00464CEA"/>
    <w:rsid w:val="00464F70"/>
    <w:rsid w:val="004713CE"/>
    <w:rsid w:val="004746BE"/>
    <w:rsid w:val="0047613B"/>
    <w:rsid w:val="004832B0"/>
    <w:rsid w:val="00483405"/>
    <w:rsid w:val="00494C82"/>
    <w:rsid w:val="00496B29"/>
    <w:rsid w:val="004A3953"/>
    <w:rsid w:val="004A3FD4"/>
    <w:rsid w:val="004B219C"/>
    <w:rsid w:val="004B3F79"/>
    <w:rsid w:val="004B70F5"/>
    <w:rsid w:val="004C5917"/>
    <w:rsid w:val="004C6217"/>
    <w:rsid w:val="004D2C6D"/>
    <w:rsid w:val="004D3D8C"/>
    <w:rsid w:val="004F1E92"/>
    <w:rsid w:val="004F6ECF"/>
    <w:rsid w:val="0050153C"/>
    <w:rsid w:val="005121B9"/>
    <w:rsid w:val="005136AB"/>
    <w:rsid w:val="00515151"/>
    <w:rsid w:val="00523149"/>
    <w:rsid w:val="00534818"/>
    <w:rsid w:val="00534D59"/>
    <w:rsid w:val="00545BF8"/>
    <w:rsid w:val="005534D9"/>
    <w:rsid w:val="00560A7A"/>
    <w:rsid w:val="00571727"/>
    <w:rsid w:val="00572ACA"/>
    <w:rsid w:val="00574AF2"/>
    <w:rsid w:val="00583B10"/>
    <w:rsid w:val="0058443D"/>
    <w:rsid w:val="00585363"/>
    <w:rsid w:val="00593FE1"/>
    <w:rsid w:val="00595F5F"/>
    <w:rsid w:val="005A42B3"/>
    <w:rsid w:val="005A4860"/>
    <w:rsid w:val="005B3F84"/>
    <w:rsid w:val="005B5337"/>
    <w:rsid w:val="005C52BE"/>
    <w:rsid w:val="005D0C18"/>
    <w:rsid w:val="005D56DA"/>
    <w:rsid w:val="005D71EC"/>
    <w:rsid w:val="005E2C94"/>
    <w:rsid w:val="005E5427"/>
    <w:rsid w:val="005F0CD7"/>
    <w:rsid w:val="005F1EA6"/>
    <w:rsid w:val="005F366F"/>
    <w:rsid w:val="006037FB"/>
    <w:rsid w:val="00606EB8"/>
    <w:rsid w:val="00610D92"/>
    <w:rsid w:val="00612153"/>
    <w:rsid w:val="00614B22"/>
    <w:rsid w:val="00614DE7"/>
    <w:rsid w:val="006150A8"/>
    <w:rsid w:val="006156C8"/>
    <w:rsid w:val="00617806"/>
    <w:rsid w:val="00620A28"/>
    <w:rsid w:val="00623EDB"/>
    <w:rsid w:val="0062546A"/>
    <w:rsid w:val="00625B35"/>
    <w:rsid w:val="00626565"/>
    <w:rsid w:val="006273C7"/>
    <w:rsid w:val="00630310"/>
    <w:rsid w:val="006437FF"/>
    <w:rsid w:val="00643CDE"/>
    <w:rsid w:val="006607CC"/>
    <w:rsid w:val="00660B22"/>
    <w:rsid w:val="00664198"/>
    <w:rsid w:val="0067197F"/>
    <w:rsid w:val="0067659E"/>
    <w:rsid w:val="00676996"/>
    <w:rsid w:val="00677B13"/>
    <w:rsid w:val="006903B4"/>
    <w:rsid w:val="00694BDD"/>
    <w:rsid w:val="006955DC"/>
    <w:rsid w:val="006A109C"/>
    <w:rsid w:val="006B28AB"/>
    <w:rsid w:val="006B29B2"/>
    <w:rsid w:val="006B4E87"/>
    <w:rsid w:val="006B7887"/>
    <w:rsid w:val="006C2268"/>
    <w:rsid w:val="006C79BB"/>
    <w:rsid w:val="006D240C"/>
    <w:rsid w:val="006D3599"/>
    <w:rsid w:val="006D7ABD"/>
    <w:rsid w:val="006E3CD3"/>
    <w:rsid w:val="006F0740"/>
    <w:rsid w:val="006F4F34"/>
    <w:rsid w:val="007003DA"/>
    <w:rsid w:val="00704BFD"/>
    <w:rsid w:val="007058A0"/>
    <w:rsid w:val="0071184A"/>
    <w:rsid w:val="00722C1F"/>
    <w:rsid w:val="0072360D"/>
    <w:rsid w:val="007270F1"/>
    <w:rsid w:val="00727A6F"/>
    <w:rsid w:val="007303A5"/>
    <w:rsid w:val="007317B6"/>
    <w:rsid w:val="00733C81"/>
    <w:rsid w:val="007344D8"/>
    <w:rsid w:val="00740CEB"/>
    <w:rsid w:val="00742585"/>
    <w:rsid w:val="00743B0E"/>
    <w:rsid w:val="007442EB"/>
    <w:rsid w:val="007502BB"/>
    <w:rsid w:val="00752E6C"/>
    <w:rsid w:val="007547D7"/>
    <w:rsid w:val="007549DF"/>
    <w:rsid w:val="00756B46"/>
    <w:rsid w:val="00756BAA"/>
    <w:rsid w:val="00762B6D"/>
    <w:rsid w:val="00764006"/>
    <w:rsid w:val="00764B56"/>
    <w:rsid w:val="007663DF"/>
    <w:rsid w:val="00772037"/>
    <w:rsid w:val="00775A54"/>
    <w:rsid w:val="00776267"/>
    <w:rsid w:val="007771C5"/>
    <w:rsid w:val="00780173"/>
    <w:rsid w:val="00787E86"/>
    <w:rsid w:val="007927AE"/>
    <w:rsid w:val="00794459"/>
    <w:rsid w:val="007A0C76"/>
    <w:rsid w:val="007A4C13"/>
    <w:rsid w:val="007A54A1"/>
    <w:rsid w:val="007B022B"/>
    <w:rsid w:val="007B1786"/>
    <w:rsid w:val="007B1C97"/>
    <w:rsid w:val="007B362F"/>
    <w:rsid w:val="007B630A"/>
    <w:rsid w:val="007C0613"/>
    <w:rsid w:val="007C1E1D"/>
    <w:rsid w:val="007C7364"/>
    <w:rsid w:val="007D08F3"/>
    <w:rsid w:val="007D0E42"/>
    <w:rsid w:val="007D148B"/>
    <w:rsid w:val="007D6ACE"/>
    <w:rsid w:val="007E4BE3"/>
    <w:rsid w:val="007F2311"/>
    <w:rsid w:val="007F34B1"/>
    <w:rsid w:val="007F4896"/>
    <w:rsid w:val="007F4C45"/>
    <w:rsid w:val="007F4E5E"/>
    <w:rsid w:val="007F4F96"/>
    <w:rsid w:val="007F6B43"/>
    <w:rsid w:val="00806F99"/>
    <w:rsid w:val="00807724"/>
    <w:rsid w:val="00812E4D"/>
    <w:rsid w:val="00821DAB"/>
    <w:rsid w:val="0082204B"/>
    <w:rsid w:val="00837915"/>
    <w:rsid w:val="0084708D"/>
    <w:rsid w:val="00850C48"/>
    <w:rsid w:val="00852C0B"/>
    <w:rsid w:val="00852D42"/>
    <w:rsid w:val="00853570"/>
    <w:rsid w:val="00853FC7"/>
    <w:rsid w:val="00854D8B"/>
    <w:rsid w:val="00855ECE"/>
    <w:rsid w:val="0085607B"/>
    <w:rsid w:val="00856E68"/>
    <w:rsid w:val="00860B5B"/>
    <w:rsid w:val="00860C5A"/>
    <w:rsid w:val="00870A0F"/>
    <w:rsid w:val="0087183E"/>
    <w:rsid w:val="00874136"/>
    <w:rsid w:val="00884364"/>
    <w:rsid w:val="0088695A"/>
    <w:rsid w:val="008871ED"/>
    <w:rsid w:val="00894DA5"/>
    <w:rsid w:val="00896CC0"/>
    <w:rsid w:val="00896E3C"/>
    <w:rsid w:val="008A1DC6"/>
    <w:rsid w:val="008A27C2"/>
    <w:rsid w:val="008A4B3B"/>
    <w:rsid w:val="008A6166"/>
    <w:rsid w:val="008A6783"/>
    <w:rsid w:val="008A7772"/>
    <w:rsid w:val="008B0223"/>
    <w:rsid w:val="008B2342"/>
    <w:rsid w:val="008B7DCA"/>
    <w:rsid w:val="008C1E4D"/>
    <w:rsid w:val="008C2429"/>
    <w:rsid w:val="008C5A1B"/>
    <w:rsid w:val="008C62E5"/>
    <w:rsid w:val="008C7CB8"/>
    <w:rsid w:val="008D06BE"/>
    <w:rsid w:val="008D1D93"/>
    <w:rsid w:val="008D7FF7"/>
    <w:rsid w:val="008E7A6F"/>
    <w:rsid w:val="008F0F4D"/>
    <w:rsid w:val="008F2AC5"/>
    <w:rsid w:val="008F622D"/>
    <w:rsid w:val="009006FC"/>
    <w:rsid w:val="00903DEA"/>
    <w:rsid w:val="0090593C"/>
    <w:rsid w:val="00912C82"/>
    <w:rsid w:val="00914596"/>
    <w:rsid w:val="00920D0B"/>
    <w:rsid w:val="009242D9"/>
    <w:rsid w:val="009248C3"/>
    <w:rsid w:val="009275F8"/>
    <w:rsid w:val="009321FE"/>
    <w:rsid w:val="00957F5C"/>
    <w:rsid w:val="0096004A"/>
    <w:rsid w:val="00963BEA"/>
    <w:rsid w:val="00970363"/>
    <w:rsid w:val="00970CC7"/>
    <w:rsid w:val="009768AC"/>
    <w:rsid w:val="009805A6"/>
    <w:rsid w:val="00981E8E"/>
    <w:rsid w:val="00986D52"/>
    <w:rsid w:val="00997993"/>
    <w:rsid w:val="00997C23"/>
    <w:rsid w:val="009A206D"/>
    <w:rsid w:val="009A5277"/>
    <w:rsid w:val="009A61A0"/>
    <w:rsid w:val="009B1F27"/>
    <w:rsid w:val="009B268D"/>
    <w:rsid w:val="009B6420"/>
    <w:rsid w:val="009B75C6"/>
    <w:rsid w:val="009C0293"/>
    <w:rsid w:val="009D1BC4"/>
    <w:rsid w:val="009E2033"/>
    <w:rsid w:val="009E4C9B"/>
    <w:rsid w:val="009E6530"/>
    <w:rsid w:val="009E79F0"/>
    <w:rsid w:val="009F2DB7"/>
    <w:rsid w:val="009F2E2C"/>
    <w:rsid w:val="00A00CCD"/>
    <w:rsid w:val="00A01BF4"/>
    <w:rsid w:val="00A035F1"/>
    <w:rsid w:val="00A06684"/>
    <w:rsid w:val="00A21E4A"/>
    <w:rsid w:val="00A22B75"/>
    <w:rsid w:val="00A26CB1"/>
    <w:rsid w:val="00A27577"/>
    <w:rsid w:val="00A34171"/>
    <w:rsid w:val="00A35831"/>
    <w:rsid w:val="00A367E2"/>
    <w:rsid w:val="00A44431"/>
    <w:rsid w:val="00A471EA"/>
    <w:rsid w:val="00A510C0"/>
    <w:rsid w:val="00A575D3"/>
    <w:rsid w:val="00A63795"/>
    <w:rsid w:val="00A65671"/>
    <w:rsid w:val="00A67E5B"/>
    <w:rsid w:val="00A72304"/>
    <w:rsid w:val="00A81BBD"/>
    <w:rsid w:val="00A85E91"/>
    <w:rsid w:val="00A874D1"/>
    <w:rsid w:val="00A97BFD"/>
    <w:rsid w:val="00AA055D"/>
    <w:rsid w:val="00AA52E5"/>
    <w:rsid w:val="00AA7388"/>
    <w:rsid w:val="00AA7624"/>
    <w:rsid w:val="00AB0ECC"/>
    <w:rsid w:val="00AB2EE2"/>
    <w:rsid w:val="00AC41C7"/>
    <w:rsid w:val="00AC55E3"/>
    <w:rsid w:val="00AC66E9"/>
    <w:rsid w:val="00AD2A6E"/>
    <w:rsid w:val="00AD3796"/>
    <w:rsid w:val="00AD3991"/>
    <w:rsid w:val="00AE188F"/>
    <w:rsid w:val="00AE2387"/>
    <w:rsid w:val="00AE4CB5"/>
    <w:rsid w:val="00AE6EAD"/>
    <w:rsid w:val="00AF2210"/>
    <w:rsid w:val="00AF2706"/>
    <w:rsid w:val="00AF330A"/>
    <w:rsid w:val="00B03B65"/>
    <w:rsid w:val="00B06010"/>
    <w:rsid w:val="00B1229D"/>
    <w:rsid w:val="00B23EE6"/>
    <w:rsid w:val="00B256B5"/>
    <w:rsid w:val="00B31125"/>
    <w:rsid w:val="00B33D65"/>
    <w:rsid w:val="00B41D07"/>
    <w:rsid w:val="00B4317D"/>
    <w:rsid w:val="00B4759A"/>
    <w:rsid w:val="00B5316E"/>
    <w:rsid w:val="00B55087"/>
    <w:rsid w:val="00B64272"/>
    <w:rsid w:val="00B64531"/>
    <w:rsid w:val="00B74D4F"/>
    <w:rsid w:val="00B8155C"/>
    <w:rsid w:val="00B86283"/>
    <w:rsid w:val="00B932A7"/>
    <w:rsid w:val="00B95BAE"/>
    <w:rsid w:val="00BB24C9"/>
    <w:rsid w:val="00BB3138"/>
    <w:rsid w:val="00BB73BD"/>
    <w:rsid w:val="00BC12AE"/>
    <w:rsid w:val="00BC67B9"/>
    <w:rsid w:val="00BD53E1"/>
    <w:rsid w:val="00BE05A5"/>
    <w:rsid w:val="00BE0EBD"/>
    <w:rsid w:val="00BF14FA"/>
    <w:rsid w:val="00BF28C6"/>
    <w:rsid w:val="00C05457"/>
    <w:rsid w:val="00C06703"/>
    <w:rsid w:val="00C07327"/>
    <w:rsid w:val="00C1252C"/>
    <w:rsid w:val="00C13257"/>
    <w:rsid w:val="00C167D5"/>
    <w:rsid w:val="00C17586"/>
    <w:rsid w:val="00C22048"/>
    <w:rsid w:val="00C22070"/>
    <w:rsid w:val="00C22962"/>
    <w:rsid w:val="00C25152"/>
    <w:rsid w:val="00C2672F"/>
    <w:rsid w:val="00C32CEF"/>
    <w:rsid w:val="00C331BA"/>
    <w:rsid w:val="00C33356"/>
    <w:rsid w:val="00C333F7"/>
    <w:rsid w:val="00C41621"/>
    <w:rsid w:val="00C424EA"/>
    <w:rsid w:val="00C427DF"/>
    <w:rsid w:val="00C43438"/>
    <w:rsid w:val="00C442BE"/>
    <w:rsid w:val="00C54F6A"/>
    <w:rsid w:val="00C63A0D"/>
    <w:rsid w:val="00C65F60"/>
    <w:rsid w:val="00C668EB"/>
    <w:rsid w:val="00C83128"/>
    <w:rsid w:val="00C834F9"/>
    <w:rsid w:val="00C843AC"/>
    <w:rsid w:val="00C84540"/>
    <w:rsid w:val="00C8748C"/>
    <w:rsid w:val="00CA4E1A"/>
    <w:rsid w:val="00CA5A78"/>
    <w:rsid w:val="00CA5C99"/>
    <w:rsid w:val="00CC513A"/>
    <w:rsid w:val="00CC797E"/>
    <w:rsid w:val="00CD6174"/>
    <w:rsid w:val="00CD6D88"/>
    <w:rsid w:val="00CE38E3"/>
    <w:rsid w:val="00CE3F3A"/>
    <w:rsid w:val="00CE57C8"/>
    <w:rsid w:val="00CE5C9C"/>
    <w:rsid w:val="00D01632"/>
    <w:rsid w:val="00D024D9"/>
    <w:rsid w:val="00D02ED9"/>
    <w:rsid w:val="00D0311C"/>
    <w:rsid w:val="00D1043D"/>
    <w:rsid w:val="00D10B90"/>
    <w:rsid w:val="00D119C3"/>
    <w:rsid w:val="00D21DC4"/>
    <w:rsid w:val="00D25CDB"/>
    <w:rsid w:val="00D260D1"/>
    <w:rsid w:val="00D37213"/>
    <w:rsid w:val="00D37CB0"/>
    <w:rsid w:val="00D50250"/>
    <w:rsid w:val="00D575CA"/>
    <w:rsid w:val="00D60658"/>
    <w:rsid w:val="00D66FB8"/>
    <w:rsid w:val="00D72569"/>
    <w:rsid w:val="00D745F5"/>
    <w:rsid w:val="00D77C93"/>
    <w:rsid w:val="00D82F3D"/>
    <w:rsid w:val="00D85C8C"/>
    <w:rsid w:val="00D92022"/>
    <w:rsid w:val="00D92EC2"/>
    <w:rsid w:val="00D94CE5"/>
    <w:rsid w:val="00D94F09"/>
    <w:rsid w:val="00D95EBF"/>
    <w:rsid w:val="00D967E2"/>
    <w:rsid w:val="00D97889"/>
    <w:rsid w:val="00D9788A"/>
    <w:rsid w:val="00DA2884"/>
    <w:rsid w:val="00DA2DD2"/>
    <w:rsid w:val="00DA7496"/>
    <w:rsid w:val="00DB3994"/>
    <w:rsid w:val="00DB5508"/>
    <w:rsid w:val="00DC3412"/>
    <w:rsid w:val="00DC376F"/>
    <w:rsid w:val="00DC4071"/>
    <w:rsid w:val="00DD2A0D"/>
    <w:rsid w:val="00DD36CD"/>
    <w:rsid w:val="00DE10C1"/>
    <w:rsid w:val="00DF270B"/>
    <w:rsid w:val="00DF36AC"/>
    <w:rsid w:val="00DF637D"/>
    <w:rsid w:val="00DF6D64"/>
    <w:rsid w:val="00E041E4"/>
    <w:rsid w:val="00E128BD"/>
    <w:rsid w:val="00E171CE"/>
    <w:rsid w:val="00E1754C"/>
    <w:rsid w:val="00E2099B"/>
    <w:rsid w:val="00E21D57"/>
    <w:rsid w:val="00E2631D"/>
    <w:rsid w:val="00E27912"/>
    <w:rsid w:val="00E327E3"/>
    <w:rsid w:val="00E33AA2"/>
    <w:rsid w:val="00E3431A"/>
    <w:rsid w:val="00E44BB9"/>
    <w:rsid w:val="00E47420"/>
    <w:rsid w:val="00E51BA0"/>
    <w:rsid w:val="00E52190"/>
    <w:rsid w:val="00E56A1B"/>
    <w:rsid w:val="00E57417"/>
    <w:rsid w:val="00E63BC3"/>
    <w:rsid w:val="00E63DE2"/>
    <w:rsid w:val="00E66E08"/>
    <w:rsid w:val="00E72BB5"/>
    <w:rsid w:val="00E81DBF"/>
    <w:rsid w:val="00E8292C"/>
    <w:rsid w:val="00E8471F"/>
    <w:rsid w:val="00E91F09"/>
    <w:rsid w:val="00E927FC"/>
    <w:rsid w:val="00E936B8"/>
    <w:rsid w:val="00E967EB"/>
    <w:rsid w:val="00EA1977"/>
    <w:rsid w:val="00EA410B"/>
    <w:rsid w:val="00EB06CE"/>
    <w:rsid w:val="00EB4632"/>
    <w:rsid w:val="00EB6E2E"/>
    <w:rsid w:val="00EC09AC"/>
    <w:rsid w:val="00EC1320"/>
    <w:rsid w:val="00ED5843"/>
    <w:rsid w:val="00EE5DB0"/>
    <w:rsid w:val="00EE73B3"/>
    <w:rsid w:val="00EF4373"/>
    <w:rsid w:val="00EF4501"/>
    <w:rsid w:val="00EF740E"/>
    <w:rsid w:val="00F04DCF"/>
    <w:rsid w:val="00F10C10"/>
    <w:rsid w:val="00F174AB"/>
    <w:rsid w:val="00F23093"/>
    <w:rsid w:val="00F23EDC"/>
    <w:rsid w:val="00F248AD"/>
    <w:rsid w:val="00F30444"/>
    <w:rsid w:val="00F315C0"/>
    <w:rsid w:val="00F35FAE"/>
    <w:rsid w:val="00F361BB"/>
    <w:rsid w:val="00F55627"/>
    <w:rsid w:val="00F56EB8"/>
    <w:rsid w:val="00F62691"/>
    <w:rsid w:val="00F73C28"/>
    <w:rsid w:val="00F82E3A"/>
    <w:rsid w:val="00F86610"/>
    <w:rsid w:val="00F90859"/>
    <w:rsid w:val="00F9169E"/>
    <w:rsid w:val="00FA6051"/>
    <w:rsid w:val="00FB0EAC"/>
    <w:rsid w:val="00FC20FB"/>
    <w:rsid w:val="00FC5EE6"/>
    <w:rsid w:val="00FC6563"/>
    <w:rsid w:val="00FC7686"/>
    <w:rsid w:val="00FD25D7"/>
    <w:rsid w:val="00FD66DC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F5387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4DF9-04E9-4BCD-8AAB-9BB36585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760</Words>
  <Characters>4181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Guevara Scott Monica</cp:lastModifiedBy>
  <cp:revision>133</cp:revision>
  <cp:lastPrinted>2019-03-11T11:04:00Z</cp:lastPrinted>
  <dcterms:created xsi:type="dcterms:W3CDTF">2019-03-11T09:37:00Z</dcterms:created>
  <dcterms:modified xsi:type="dcterms:W3CDTF">2019-03-20T16:25:00Z</dcterms:modified>
</cp:coreProperties>
</file>