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7A37D" w14:textId="26A659F6" w:rsidR="006A7F5B" w:rsidRDefault="006A7F5B" w:rsidP="001A3132">
      <w:pPr>
        <w:ind w:right="1693"/>
        <w:rPr>
          <w:b/>
          <w:sz w:val="32"/>
          <w:szCs w:val="32"/>
        </w:rPr>
      </w:pPr>
    </w:p>
    <w:p w14:paraId="75E39A32" w14:textId="4B988235" w:rsidR="00B11E11" w:rsidRDefault="00260D34" w:rsidP="001A3132">
      <w:pPr>
        <w:ind w:right="1693"/>
        <w:rPr>
          <w:b/>
          <w:sz w:val="32"/>
          <w:szCs w:val="32"/>
        </w:rPr>
      </w:pPr>
      <w:r>
        <w:rPr>
          <w:b/>
          <w:sz w:val="32"/>
          <w:szCs w:val="32"/>
        </w:rPr>
        <w:t>La competencia de TGW en alimentos congelados impulsa a la empresa sueca distribuidora de alimentos</w:t>
      </w:r>
    </w:p>
    <w:p w14:paraId="59E45B98" w14:textId="77777777" w:rsidR="007E32C0" w:rsidRDefault="007E32C0" w:rsidP="007E32C0">
      <w:pPr>
        <w:pStyle w:val="Listenabsatz"/>
        <w:ind w:right="1693"/>
        <w:rPr>
          <w:b/>
          <w:sz w:val="24"/>
          <w:szCs w:val="24"/>
        </w:rPr>
      </w:pPr>
    </w:p>
    <w:p w14:paraId="2774CDA1" w14:textId="382EE090" w:rsidR="009E1BB7" w:rsidRDefault="009E1BB7" w:rsidP="009E1BB7">
      <w:pPr>
        <w:pStyle w:val="Listenabsatz"/>
        <w:numPr>
          <w:ilvl w:val="0"/>
          <w:numId w:val="34"/>
        </w:numPr>
        <w:ind w:right="1693"/>
        <w:rPr>
          <w:b/>
          <w:sz w:val="24"/>
          <w:szCs w:val="24"/>
        </w:rPr>
      </w:pPr>
      <w:r>
        <w:rPr>
          <w:b/>
          <w:sz w:val="24"/>
          <w:szCs w:val="24"/>
        </w:rPr>
        <w:t>El almacén con temperatura controlada garantiza una calidad óptima de los productos a lo largo de la cadena de suministro</w:t>
      </w:r>
    </w:p>
    <w:p w14:paraId="097025AD" w14:textId="4AA890FE" w:rsidR="00B07B98" w:rsidRDefault="009E1BB7" w:rsidP="0008260A">
      <w:pPr>
        <w:pStyle w:val="Listenabsatz"/>
        <w:numPr>
          <w:ilvl w:val="0"/>
          <w:numId w:val="34"/>
        </w:numPr>
        <w:ind w:right="1693"/>
        <w:rPr>
          <w:b/>
          <w:sz w:val="24"/>
          <w:szCs w:val="24"/>
        </w:rPr>
      </w:pPr>
      <w:r>
        <w:rPr>
          <w:b/>
          <w:sz w:val="24"/>
          <w:szCs w:val="24"/>
        </w:rPr>
        <w:t>Los pedidos se componen de forma total o parcialmente automatizada en roll containers aptos para las tiendas</w:t>
      </w:r>
    </w:p>
    <w:p w14:paraId="3FCF35EB" w14:textId="3DFA29C7" w:rsidR="00C06F0C" w:rsidRDefault="00C06F0C" w:rsidP="0008260A">
      <w:pPr>
        <w:pStyle w:val="Listenabsatz"/>
        <w:numPr>
          <w:ilvl w:val="0"/>
          <w:numId w:val="34"/>
        </w:numPr>
        <w:ind w:right="1693"/>
        <w:rPr>
          <w:b/>
          <w:sz w:val="24"/>
          <w:szCs w:val="24"/>
        </w:rPr>
      </w:pPr>
      <w:r>
        <w:rPr>
          <w:b/>
          <w:sz w:val="24"/>
          <w:szCs w:val="24"/>
        </w:rPr>
        <w:t>Aumento sostenible de la eficiencia de los procesos empresariales</w:t>
      </w:r>
    </w:p>
    <w:p w14:paraId="1E4CED83" w14:textId="77777777" w:rsidR="00C06F0C" w:rsidRPr="00C06F0C" w:rsidRDefault="00C06F0C" w:rsidP="00C06F0C">
      <w:pPr>
        <w:pStyle w:val="Listenabsatz"/>
        <w:ind w:right="1693"/>
        <w:rPr>
          <w:b/>
          <w:sz w:val="24"/>
          <w:szCs w:val="24"/>
        </w:rPr>
      </w:pPr>
    </w:p>
    <w:p w14:paraId="0029F37A" w14:textId="5D301D8C" w:rsidR="00736141" w:rsidRPr="006A7F5B" w:rsidRDefault="00814F5E" w:rsidP="00260D34">
      <w:pPr>
        <w:ind w:right="1693"/>
        <w:jc w:val="both"/>
        <w:rPr>
          <w:b/>
        </w:rPr>
      </w:pPr>
      <w:r>
        <w:rPr>
          <w:b/>
        </w:rPr>
        <w:t>(Marchtrenk, 8 de septiembre de 2022) A un centenar de kilómetros al oeste de Estocolmo, TGW ejecutará hasta enero de 2026 un proyecto insignia para ICA Sweden, el número 1 en la distribución de alimentos sueca. Con el Fulfillment Center altamente automatizado, ICA Sweden aumentará la eficiencia de sus procesos y acelerará los envíos a sus tiendas.</w:t>
      </w:r>
    </w:p>
    <w:p w14:paraId="1585A92C" w14:textId="77777777" w:rsidR="00260D34" w:rsidRPr="00260D34" w:rsidRDefault="00260D34" w:rsidP="00260D34">
      <w:pPr>
        <w:ind w:right="1693"/>
        <w:jc w:val="both"/>
      </w:pPr>
    </w:p>
    <w:p w14:paraId="30FC5598" w14:textId="42AD5283" w:rsidR="005D6538" w:rsidRDefault="009E1BB7" w:rsidP="00C76013">
      <w:pPr>
        <w:ind w:right="1693"/>
        <w:jc w:val="both"/>
      </w:pPr>
      <w:r>
        <w:t xml:space="preserve">Un almacén de palets para congelados de 30 metros de altura repone el sistema de shuttle altamente dinámico. </w:t>
      </w:r>
      <w:r>
        <w:rPr>
          <w:rFonts w:cs="Arial"/>
          <w:szCs w:val="20"/>
        </w:rPr>
        <w:t xml:space="preserve">Esto último permite el acceso directo a cada uno de los artículos y, por tanto, reduce al mínimo los tiempos de procesamiento. </w:t>
      </w:r>
      <w:r>
        <w:t>Para preparar los pedidos de las tiendas, la mercancía demandada se saca del almacén, se secuencia y, a continuación, se agrupa en roll containers aptos para tienda en estaciones de paletización de forma total o parcialmente automatizada. Las distintas áreas funcionales de la instalación están conectadas con la eficiente tecnología de manutención de palets, cajas y cubetas.</w:t>
      </w:r>
    </w:p>
    <w:p w14:paraId="0E4331F3" w14:textId="77777777" w:rsidR="006A7F5B" w:rsidRDefault="006A7F5B" w:rsidP="00C76013">
      <w:pPr>
        <w:ind w:right="1693"/>
        <w:jc w:val="both"/>
      </w:pPr>
    </w:p>
    <w:p w14:paraId="48850013" w14:textId="77777777" w:rsidR="006A7F5B" w:rsidRPr="00120532" w:rsidRDefault="006A7F5B" w:rsidP="006A7F5B">
      <w:pPr>
        <w:ind w:right="1693"/>
        <w:jc w:val="both"/>
        <w:rPr>
          <w:b/>
        </w:rPr>
      </w:pPr>
      <w:r>
        <w:rPr>
          <w:b/>
        </w:rPr>
        <w:t>Entrega eficiente a tienda</w:t>
      </w:r>
    </w:p>
    <w:p w14:paraId="208759D4" w14:textId="77777777" w:rsidR="00C06F0C" w:rsidRDefault="00C06F0C" w:rsidP="00C76013">
      <w:pPr>
        <w:ind w:right="1693"/>
        <w:jc w:val="both"/>
      </w:pPr>
    </w:p>
    <w:p w14:paraId="35182F66" w14:textId="1C63B75E" w:rsidR="00A73161" w:rsidRDefault="005D6538" w:rsidP="00C76013">
      <w:pPr>
        <w:ind w:right="1693"/>
        <w:jc w:val="both"/>
      </w:pPr>
      <w:r>
        <w:t xml:space="preserve">El software TGW Warehouse proporciona la disposición óptima de los artículos para mantener al mínimo el esfuerzo de reposición de las estanterías de las tiendas. La disposición compacta de cada módulo permite, además, una considerable reducción del </w:t>
      </w:r>
      <w:r>
        <w:lastRenderedPageBreak/>
        <w:t xml:space="preserve">volumen del espacio a refrigerar en comparación con la preparación de pedidos manual. Esto ayuda a ICA a alcanzar </w:t>
      </w:r>
      <w:proofErr w:type="spellStart"/>
      <w:r>
        <w:t>sus</w:t>
      </w:r>
      <w:proofErr w:type="spellEnd"/>
      <w:r>
        <w:t xml:space="preserve"> </w:t>
      </w:r>
      <w:proofErr w:type="spellStart"/>
      <w:r>
        <w:t>objetivos</w:t>
      </w:r>
      <w:proofErr w:type="spellEnd"/>
      <w:r>
        <w:t xml:space="preserve"> de </w:t>
      </w:r>
      <w:proofErr w:type="spellStart"/>
      <w:r>
        <w:t>sostenibilidad</w:t>
      </w:r>
      <w:proofErr w:type="spellEnd"/>
      <w:r>
        <w:t>.</w:t>
      </w:r>
    </w:p>
    <w:p w14:paraId="43B7B2B5" w14:textId="54D6727A" w:rsidR="00260D34" w:rsidRPr="00260D34" w:rsidRDefault="00831550" w:rsidP="00260D34">
      <w:pPr>
        <w:ind w:right="1693"/>
        <w:jc w:val="both"/>
      </w:pPr>
      <w:r>
        <w:t>Todos los módulos han sido concebidos para un uso exigente en un entorno para congelados a -25 grados Celsius: cubren el proceso de almacenamiento, así como el de preparación de pedidos y el de paletización. Demuestran su productividad, eficiencia y fiabilidad cada día con una decena de empresas de todo el mundo, como Coop (Suiza), NewCold o Nordfrost.</w:t>
      </w:r>
    </w:p>
    <w:p w14:paraId="794FACA8" w14:textId="77777777" w:rsidR="00260D34" w:rsidRPr="00260D34" w:rsidRDefault="00260D34" w:rsidP="00260D34">
      <w:pPr>
        <w:ind w:right="1693"/>
        <w:jc w:val="both"/>
      </w:pPr>
    </w:p>
    <w:p w14:paraId="009FA03F" w14:textId="3C34DACD" w:rsidR="00260D34" w:rsidRPr="00120532" w:rsidRDefault="000A5266" w:rsidP="00260D34">
      <w:pPr>
        <w:ind w:right="1693"/>
        <w:jc w:val="both"/>
        <w:rPr>
          <w:b/>
        </w:rPr>
      </w:pPr>
      <w:r>
        <w:rPr>
          <w:b/>
        </w:rPr>
        <w:t>Viaje conjunto hacia la automatización</w:t>
      </w:r>
    </w:p>
    <w:p w14:paraId="06D34411" w14:textId="77777777" w:rsidR="00260D34" w:rsidRPr="00260D34" w:rsidRDefault="00260D34" w:rsidP="00260D34">
      <w:pPr>
        <w:ind w:right="1693"/>
        <w:jc w:val="both"/>
      </w:pPr>
    </w:p>
    <w:p w14:paraId="447746D5" w14:textId="187AC032" w:rsidR="00260D34" w:rsidRDefault="00980799" w:rsidP="00260D34">
      <w:pPr>
        <w:ind w:right="1693"/>
        <w:jc w:val="both"/>
      </w:pPr>
      <w:r>
        <w:t xml:space="preserve">"Nos complace mucho acompañar a ICA como socio en su viaje hacia la automatización", resalta </w:t>
      </w:r>
      <w:r>
        <w:rPr>
          <w:b/>
        </w:rPr>
        <w:t>Kristian Brink</w:t>
      </w:r>
      <w:r>
        <w:t>, Sales Project Manager en TGW Scandinavia. "Juntos, confeccionaremos la intralogística a la medida del mercado sueco e implementaremos una solución que siente nuevas bases".</w:t>
      </w:r>
    </w:p>
    <w:p w14:paraId="382C04D2" w14:textId="7BAB2753" w:rsidR="00E73FFF" w:rsidRDefault="00E73FFF" w:rsidP="00260D34">
      <w:pPr>
        <w:ind w:right="1693"/>
        <w:jc w:val="both"/>
      </w:pPr>
    </w:p>
    <w:p w14:paraId="701082C7" w14:textId="5F4A6311" w:rsidR="001E49DA" w:rsidRDefault="001E49DA" w:rsidP="00260D34">
      <w:pPr>
        <w:ind w:right="1693"/>
        <w:jc w:val="both"/>
      </w:pPr>
    </w:p>
    <w:p w14:paraId="43C769AE" w14:textId="77777777" w:rsidR="001E49DA" w:rsidRDefault="001E49DA" w:rsidP="00260D34">
      <w:pPr>
        <w:ind w:right="1693"/>
        <w:jc w:val="both"/>
      </w:pPr>
    </w:p>
    <w:p w14:paraId="7C618DA9" w14:textId="0C5E6D7A" w:rsidR="00E73FFF" w:rsidRDefault="00E73FFF" w:rsidP="00260D34">
      <w:pPr>
        <w:ind w:right="1693"/>
        <w:jc w:val="both"/>
      </w:pPr>
    </w:p>
    <w:p w14:paraId="1D9A96E5" w14:textId="3C121EB0" w:rsidR="00E73FFF" w:rsidRPr="00E73FFF" w:rsidRDefault="00E73FFF" w:rsidP="00260D34">
      <w:pPr>
        <w:ind w:right="1693"/>
        <w:jc w:val="both"/>
        <w:rPr>
          <w:b/>
        </w:rPr>
      </w:pPr>
      <w:r>
        <w:rPr>
          <w:b/>
        </w:rPr>
        <w:t>Sobre ICA</w:t>
      </w:r>
    </w:p>
    <w:p w14:paraId="1E30101E" w14:textId="6E45698B" w:rsidR="00E73FFF" w:rsidRPr="00D30A37" w:rsidRDefault="00E73FFF" w:rsidP="00260D34">
      <w:pPr>
        <w:ind w:right="1693"/>
        <w:jc w:val="both"/>
      </w:pPr>
      <w:r>
        <w:t>Con una facturación de 12 000 millones de euros y una cuota de mercado del 36 %, ICA es el principal distribuidor de alimentos sueco. La empresa fue fundada en 1938 como cooperativa de compras. En la actualidad, el minorista abastece a 1300 comerciantes independientes de Suecia y los países bálticos con artículos alimenticios y no alimenticios.</w:t>
      </w:r>
    </w:p>
    <w:p w14:paraId="56696A0E" w14:textId="03EA2B86" w:rsidR="0052678B" w:rsidRDefault="0052678B" w:rsidP="00597E72">
      <w:pPr>
        <w:ind w:right="1693"/>
        <w:jc w:val="both"/>
        <w:rPr>
          <w:rFonts w:cs="Arial"/>
          <w:szCs w:val="20"/>
        </w:rPr>
      </w:pPr>
    </w:p>
    <w:p w14:paraId="49945A1E" w14:textId="77777777" w:rsidR="00A73161" w:rsidRDefault="00A73161" w:rsidP="00597E72">
      <w:pPr>
        <w:ind w:right="1693"/>
        <w:jc w:val="both"/>
        <w:rPr>
          <w:rFonts w:cs="Arial"/>
          <w:szCs w:val="20"/>
        </w:rPr>
      </w:pPr>
      <w:bookmarkStart w:id="0" w:name="_GoBack"/>
      <w:bookmarkEnd w:id="0"/>
    </w:p>
    <w:p w14:paraId="13418FDD" w14:textId="1F541C04" w:rsidR="0052678B" w:rsidRDefault="0052678B" w:rsidP="00597E72">
      <w:pPr>
        <w:ind w:right="1693"/>
        <w:jc w:val="both"/>
        <w:rPr>
          <w:rFonts w:cs="Arial"/>
          <w:szCs w:val="20"/>
        </w:rPr>
      </w:pPr>
    </w:p>
    <w:p w14:paraId="1D1C5E30" w14:textId="6A437077" w:rsidR="0052678B" w:rsidRDefault="0052678B" w:rsidP="00597E72">
      <w:pPr>
        <w:ind w:right="1693"/>
        <w:jc w:val="both"/>
        <w:rPr>
          <w:rFonts w:cs="Arial"/>
          <w:szCs w:val="20"/>
        </w:rPr>
      </w:pPr>
    </w:p>
    <w:p w14:paraId="588F6855" w14:textId="7C7DE066" w:rsidR="0052678B" w:rsidRDefault="00B214B9" w:rsidP="00597E72">
      <w:pPr>
        <w:ind w:right="1693"/>
        <w:jc w:val="both"/>
        <w:rPr>
          <w:rFonts w:cs="Arial"/>
          <w:szCs w:val="20"/>
        </w:rPr>
      </w:pPr>
      <w:hyperlink r:id="rId11" w:history="1">
        <w:r w:rsidR="006A7F5B">
          <w:rPr>
            <w:rStyle w:val="Hyperlink"/>
            <w:rFonts w:cs="Arial"/>
            <w:szCs w:val="20"/>
          </w:rPr>
          <w:t>www.tgw-group.com</w:t>
        </w:r>
      </w:hyperlink>
    </w:p>
    <w:p w14:paraId="553A61BC" w14:textId="0109E595" w:rsidR="0052678B" w:rsidRDefault="0052678B" w:rsidP="00597E72">
      <w:pPr>
        <w:ind w:right="1693"/>
        <w:jc w:val="both"/>
        <w:rPr>
          <w:rFonts w:cs="Arial"/>
          <w:szCs w:val="20"/>
        </w:rPr>
      </w:pPr>
    </w:p>
    <w:p w14:paraId="73B945F0" w14:textId="77777777" w:rsidR="00A73161" w:rsidRDefault="00A73161" w:rsidP="00597E72">
      <w:pPr>
        <w:ind w:right="1693"/>
        <w:jc w:val="both"/>
        <w:rPr>
          <w:rFonts w:cs="Arial"/>
          <w:szCs w:val="20"/>
        </w:rPr>
      </w:pPr>
    </w:p>
    <w:p w14:paraId="253BE426" w14:textId="6E54EA0A" w:rsidR="0052678B" w:rsidRDefault="0052678B" w:rsidP="00597E72">
      <w:pPr>
        <w:ind w:right="1693"/>
        <w:jc w:val="both"/>
        <w:rPr>
          <w:rFonts w:cs="Arial"/>
          <w:szCs w:val="20"/>
        </w:rPr>
      </w:pPr>
    </w:p>
    <w:p w14:paraId="0E7CC2DD" w14:textId="19E813F4" w:rsidR="0052678B" w:rsidRDefault="0052678B" w:rsidP="00597E72">
      <w:pPr>
        <w:ind w:right="1693"/>
        <w:jc w:val="both"/>
        <w:rPr>
          <w:rFonts w:cs="Arial"/>
          <w:szCs w:val="20"/>
        </w:rPr>
      </w:pPr>
    </w:p>
    <w:p w14:paraId="70450043" w14:textId="512888CD" w:rsidR="00120532" w:rsidRDefault="00120532" w:rsidP="00597E72">
      <w:pPr>
        <w:ind w:right="1693"/>
        <w:jc w:val="both"/>
        <w:rPr>
          <w:rFonts w:cs="Arial"/>
          <w:szCs w:val="20"/>
        </w:rPr>
      </w:pPr>
    </w:p>
    <w:p w14:paraId="1B14F78B" w14:textId="509325D4" w:rsidR="00120532" w:rsidRDefault="00120532" w:rsidP="00597E72">
      <w:pPr>
        <w:ind w:right="1693"/>
        <w:jc w:val="both"/>
        <w:rPr>
          <w:rFonts w:cs="Arial"/>
          <w:szCs w:val="20"/>
        </w:rPr>
      </w:pPr>
    </w:p>
    <w:p w14:paraId="381F0657" w14:textId="77777777" w:rsidR="00120532" w:rsidRDefault="00120532" w:rsidP="00597E72">
      <w:pPr>
        <w:ind w:right="1693"/>
        <w:jc w:val="both"/>
        <w:rPr>
          <w:rFonts w:cs="Arial"/>
          <w:szCs w:val="20"/>
        </w:rPr>
      </w:pPr>
    </w:p>
    <w:p w14:paraId="6798839E" w14:textId="5EE571BD" w:rsidR="007940DD" w:rsidRDefault="007940DD" w:rsidP="00597E72">
      <w:pPr>
        <w:ind w:right="1693"/>
        <w:jc w:val="both"/>
        <w:rPr>
          <w:rFonts w:cs="Arial"/>
          <w:szCs w:val="20"/>
        </w:rPr>
      </w:pPr>
    </w:p>
    <w:p w14:paraId="234936E1" w14:textId="77777777" w:rsidR="006A7F5B" w:rsidRDefault="006A7F5B" w:rsidP="00597E72">
      <w:pPr>
        <w:ind w:right="1693"/>
        <w:jc w:val="both"/>
        <w:rPr>
          <w:rFonts w:cs="Arial"/>
          <w:szCs w:val="20"/>
        </w:rPr>
      </w:pPr>
    </w:p>
    <w:p w14:paraId="261CB97A" w14:textId="0B72CB5A" w:rsidR="009B15EB" w:rsidRDefault="009B15EB" w:rsidP="00597E72">
      <w:pPr>
        <w:ind w:right="1693"/>
        <w:jc w:val="both"/>
        <w:rPr>
          <w:rFonts w:cs="Arial"/>
          <w:szCs w:val="20"/>
        </w:rPr>
      </w:pPr>
    </w:p>
    <w:p w14:paraId="4DF00354" w14:textId="77777777" w:rsidR="001E49DA" w:rsidRDefault="001E49DA" w:rsidP="00597E72">
      <w:pPr>
        <w:ind w:right="1693"/>
        <w:jc w:val="both"/>
        <w:rPr>
          <w:rFonts w:cs="Arial"/>
          <w:szCs w:val="20"/>
        </w:rPr>
      </w:pPr>
    </w:p>
    <w:p w14:paraId="67F7A938" w14:textId="3A5BAD12"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t>Acerca de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09C71C0A"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tiene oficinas en Europa, Asia y EE. UU. y emplea a más de 4.000 personas en todo el mundo. En el ejercicio 2020/2021, la empresa obtuvo una facturación total de 813 millones de euros.</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Ilustraciones:</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14:paraId="59A40BD0" w14:textId="00AE2826" w:rsidR="0091467E" w:rsidRDefault="0091467E"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Contacto:</w:t>
      </w:r>
    </w:p>
    <w:p w14:paraId="3B322AE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+43.(0)50.486-0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+43.(0)50.486-31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Correo electrónico: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Contacto de prensa:</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1FEA3FFF"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T: +43.(0)50.486-2267</w:t>
      </w:r>
    </w:p>
    <w:p w14:paraId="78A5DD98"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M: +43.(0)664.88459713</w:t>
      </w:r>
    </w:p>
    <w:p w14:paraId="0E3306C2"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alexander.tahedl@tgw-group.com</w:t>
      </w:r>
    </w:p>
    <w:p w14:paraId="569701BD" w14:textId="77777777" w:rsidR="0091467E" w:rsidRPr="0084767D" w:rsidRDefault="0091467E" w:rsidP="00814F5E">
      <w:pPr>
        <w:tabs>
          <w:tab w:val="left" w:pos="7797"/>
        </w:tabs>
        <w:spacing w:line="240" w:lineRule="auto"/>
        <w:ind w:right="1128"/>
        <w:jc w:val="both"/>
        <w:rPr>
          <w:rFonts w:cs="Arial"/>
          <w:szCs w:val="20"/>
          <w:lang w:val="en-AU"/>
        </w:rPr>
      </w:pPr>
    </w:p>
    <w:p w14:paraId="7A2A9183" w14:textId="77777777" w:rsidR="0091467E" w:rsidRPr="0084767D" w:rsidRDefault="0091467E" w:rsidP="00814F5E">
      <w:pPr>
        <w:tabs>
          <w:tab w:val="left" w:pos="7797"/>
        </w:tabs>
        <w:spacing w:line="240" w:lineRule="auto"/>
        <w:ind w:right="1128"/>
        <w:jc w:val="both"/>
        <w:rPr>
          <w:rFonts w:cs="Arial"/>
          <w:szCs w:val="20"/>
          <w:lang w:val="en-AU"/>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29D650AB" w14:textId="77777777" w:rsidR="0091467E" w:rsidRPr="0084767D" w:rsidRDefault="0091467E" w:rsidP="00814F5E">
      <w:pPr>
        <w:tabs>
          <w:tab w:val="left" w:pos="7797"/>
        </w:tabs>
        <w:spacing w:line="240" w:lineRule="auto"/>
        <w:ind w:right="1128"/>
        <w:jc w:val="both"/>
        <w:rPr>
          <w:rFonts w:cs="Arial"/>
          <w:szCs w:val="20"/>
        </w:rPr>
      </w:pPr>
      <w:r>
        <w:rPr>
          <w:rFonts w:cs="Arial"/>
          <w:szCs w:val="20"/>
        </w:rPr>
        <w:t>T: +43.(0)50.486-1382</w:t>
      </w:r>
    </w:p>
    <w:p w14:paraId="1DE17E93" w14:textId="77777777" w:rsidR="0091467E" w:rsidRPr="0084767D" w:rsidRDefault="0091467E" w:rsidP="00814F5E">
      <w:pPr>
        <w:tabs>
          <w:tab w:val="left" w:pos="3432"/>
          <w:tab w:val="left" w:pos="7797"/>
        </w:tabs>
        <w:spacing w:line="240" w:lineRule="auto"/>
        <w:ind w:right="1128"/>
        <w:jc w:val="both"/>
        <w:rPr>
          <w:rFonts w:cs="Arial"/>
          <w:szCs w:val="20"/>
        </w:rPr>
      </w:pPr>
      <w:r>
        <w:rPr>
          <w:rFonts w:cs="Arial"/>
          <w:szCs w:val="20"/>
        </w:rPr>
        <w:t>M: +43.(0)664.8187423</w:t>
      </w:r>
    </w:p>
    <w:p w14:paraId="6EC187B2" w14:textId="77777777" w:rsidR="0091467E" w:rsidRPr="0084767D" w:rsidRDefault="0091467E" w:rsidP="00814F5E">
      <w:pPr>
        <w:tabs>
          <w:tab w:val="left" w:pos="7797"/>
        </w:tabs>
        <w:spacing w:line="240" w:lineRule="auto"/>
        <w:ind w:right="1128"/>
        <w:jc w:val="both"/>
        <w:rPr>
          <w:rFonts w:cs="Arial"/>
          <w:szCs w:val="20"/>
        </w:rPr>
      </w:pPr>
      <w:r>
        <w:rPr>
          <w:rFonts w:cs="Arial"/>
          <w:szCs w:val="20"/>
        </w:rPr>
        <w:t>martin.kirchmayr@tgw-group.com</w:t>
      </w:r>
    </w:p>
    <w:p w14:paraId="117F9DA5" w14:textId="77777777" w:rsidR="0091467E" w:rsidRPr="0084767D" w:rsidRDefault="0091467E" w:rsidP="00814F5E">
      <w:pPr>
        <w:tabs>
          <w:tab w:val="left" w:pos="7797"/>
        </w:tabs>
        <w:spacing w:line="240" w:lineRule="auto"/>
        <w:ind w:right="1128"/>
        <w:jc w:val="both"/>
        <w:rPr>
          <w:rFonts w:cs="Arial"/>
          <w:sz w:val="22"/>
        </w:rPr>
      </w:pPr>
    </w:p>
    <w:p w14:paraId="67CF7EA8" w14:textId="77777777" w:rsidR="0091467E" w:rsidRPr="0084767D" w:rsidRDefault="0091467E" w:rsidP="00814F5E">
      <w:pPr>
        <w:tabs>
          <w:tab w:val="left" w:pos="7797"/>
        </w:tabs>
        <w:spacing w:line="240" w:lineRule="auto"/>
        <w:ind w:right="1128"/>
        <w:jc w:val="both"/>
        <w:rPr>
          <w:rFonts w:cs="Arial"/>
          <w:sz w:val="22"/>
        </w:rPr>
      </w:pPr>
    </w:p>
    <w:p w14:paraId="1E3AEA52" w14:textId="77777777" w:rsidR="0091467E" w:rsidRPr="0084767D" w:rsidRDefault="0091467E" w:rsidP="00814F5E">
      <w:pPr>
        <w:tabs>
          <w:tab w:val="left" w:pos="7797"/>
        </w:tabs>
        <w:spacing w:line="240" w:lineRule="auto"/>
        <w:ind w:right="1128"/>
        <w:jc w:val="both"/>
        <w:rPr>
          <w:rFonts w:cs="Arial"/>
          <w:sz w:val="22"/>
        </w:rPr>
      </w:pPr>
    </w:p>
    <w:p w14:paraId="553C05DC" w14:textId="77777777" w:rsidR="0091467E" w:rsidRPr="0084767D" w:rsidRDefault="0091467E" w:rsidP="00814F5E">
      <w:pPr>
        <w:tabs>
          <w:tab w:val="left" w:pos="7797"/>
        </w:tabs>
        <w:spacing w:line="240" w:lineRule="auto"/>
        <w:ind w:right="1128"/>
        <w:jc w:val="both"/>
        <w:rPr>
          <w:rFonts w:cs="Arial"/>
          <w:sz w:val="22"/>
        </w:rPr>
      </w:pPr>
    </w:p>
    <w:p w14:paraId="630DDE3A" w14:textId="77777777" w:rsidR="0091467E" w:rsidRPr="0084767D" w:rsidRDefault="0091467E" w:rsidP="00814F5E">
      <w:pPr>
        <w:ind w:right="1128"/>
        <w:jc w:val="both"/>
        <w:rPr>
          <w:rFonts w:cs="Arial"/>
          <w:bCs/>
          <w:szCs w:val="20"/>
        </w:rPr>
      </w:pPr>
    </w:p>
    <w:p w14:paraId="4F2B418E" w14:textId="23D8CD8D" w:rsidR="00C300F2" w:rsidRPr="0084767D" w:rsidRDefault="00C300F2" w:rsidP="00814F5E">
      <w:pPr>
        <w:ind w:right="1128"/>
        <w:jc w:val="both"/>
        <w:rPr>
          <w:rFonts w:cs="Arial"/>
          <w:bCs/>
          <w:szCs w:val="20"/>
        </w:rPr>
      </w:pPr>
    </w:p>
    <w:p w14:paraId="67D4B0FE" w14:textId="79390DDD" w:rsidR="00C300F2" w:rsidRPr="0084767D" w:rsidRDefault="00C300F2" w:rsidP="00814F5E">
      <w:pPr>
        <w:tabs>
          <w:tab w:val="left" w:pos="7797"/>
        </w:tabs>
        <w:spacing w:line="240" w:lineRule="auto"/>
        <w:ind w:right="1128"/>
        <w:jc w:val="both"/>
        <w:rPr>
          <w:rFonts w:cs="Arial"/>
          <w:sz w:val="22"/>
        </w:rPr>
      </w:pPr>
    </w:p>
    <w:p w14:paraId="26E888D1" w14:textId="77777777" w:rsidR="004F033E" w:rsidRPr="0084767D" w:rsidRDefault="004F033E">
      <w:pPr>
        <w:tabs>
          <w:tab w:val="left" w:pos="7797"/>
        </w:tabs>
        <w:spacing w:line="240" w:lineRule="auto"/>
        <w:ind w:right="1128"/>
        <w:jc w:val="both"/>
        <w:rPr>
          <w:rFonts w:cs="Arial"/>
          <w:sz w:val="22"/>
        </w:rPr>
      </w:pPr>
    </w:p>
    <w:sectPr w:rsidR="004F033E" w:rsidRPr="0084767D"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3B5BDF6F"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B214B9">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9DA"/>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7358"/>
    <w:rsid w:val="002B7FF3"/>
    <w:rsid w:val="002C023A"/>
    <w:rsid w:val="002C2564"/>
    <w:rsid w:val="002C49C4"/>
    <w:rsid w:val="002C4CF7"/>
    <w:rsid w:val="002C501B"/>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C9B"/>
    <w:rsid w:val="003158C4"/>
    <w:rsid w:val="003168AE"/>
    <w:rsid w:val="00316CC3"/>
    <w:rsid w:val="00316CD2"/>
    <w:rsid w:val="00317819"/>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20B80"/>
    <w:rsid w:val="00920BA9"/>
    <w:rsid w:val="00920C8C"/>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D5A"/>
    <w:rsid w:val="00955E53"/>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D0439"/>
    <w:rsid w:val="009D0455"/>
    <w:rsid w:val="009D0581"/>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4B9"/>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23D9"/>
    <w:rsid w:val="00EA3705"/>
    <w:rsid w:val="00EA44DD"/>
    <w:rsid w:val="00EA51D2"/>
    <w:rsid w:val="00EA6219"/>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2E9D"/>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011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3.xml><?xml version="1.0" encoding="utf-8"?>
<ds:datastoreItem xmlns:ds="http://schemas.openxmlformats.org/officeDocument/2006/customXml" ds:itemID="{894E01D5-E4F5-4F0A-BB8C-2CC90566A53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8bbba48b-ed70-4d4f-bc70-b74f508f6d15"/>
    <ds:schemaRef ds:uri="http://www.w3.org/XML/1998/namespace"/>
  </ds:schemaRefs>
</ds:datastoreItem>
</file>

<file path=customXml/itemProps4.xml><?xml version="1.0" encoding="utf-8"?>
<ds:datastoreItem xmlns:ds="http://schemas.openxmlformats.org/officeDocument/2006/customXml" ds:itemID="{E35F8E9A-68A0-4187-9FE6-4ECEFAA1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TGW-Tiefkühlkompetenz beschleunigt schwedischen Lebensmittelhändler ICA</vt:lpstr>
    </vt:vector>
  </TitlesOfParts>
  <Company>TGW Group</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competencia de TGW en alimentos congelados impulsa a la empresa sueca distribuidora de alimentos</dc:title>
  <dc:creator>Tahedl Alexander</dc:creator>
  <cp:keywords>La competencia de TGW en alimentos congelados impulsa a la empresa sueca distribuidora de alimentos</cp:keywords>
  <cp:lastModifiedBy>Tahedl Alexander</cp:lastModifiedBy>
  <cp:revision>27</cp:revision>
  <cp:lastPrinted>2019-07-24T13:56:00Z</cp:lastPrinted>
  <dcterms:created xsi:type="dcterms:W3CDTF">2022-07-13T07:26:00Z</dcterms:created>
  <dcterms:modified xsi:type="dcterms:W3CDTF">2022-09-07T13:42:00Z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