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4501" w14:textId="21802F73" w:rsidR="00010CA8" w:rsidRDefault="00010CA8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4DA915CF" w14:textId="40E1999D" w:rsidR="005C09A8" w:rsidRDefault="005C09A8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29CEFB1F" w14:textId="77777777" w:rsidR="00EE41E7" w:rsidRDefault="00EE41E7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26FB9E78" w14:textId="04CF8BDC" w:rsidR="00B83BBF" w:rsidRDefault="00BF03D6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TGW suministra un Fulfillment Center altamente automatizado a Victoria's Secret &amp; Co.</w:t>
      </w:r>
    </w:p>
    <w:p w14:paraId="56F93390" w14:textId="5F98FE00" w:rsidR="00BF03D6" w:rsidRPr="00803C07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0B553CD7" w14:textId="7EC296FB" w:rsidR="00BF03D6" w:rsidRDefault="00861FE4" w:rsidP="00BF03D6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En los últimos meses, ha surgido un proyecto de vanguardia</w:t>
      </w:r>
      <w:r>
        <w:rPr>
          <w:b/>
          <w:sz w:val="24"/>
          <w:szCs w:val="24"/>
        </w:rPr>
        <w:br/>
        <w:t xml:space="preserve">en Columbus, Ohio, para la marca de lencería famosa en todo el mundo </w:t>
      </w:r>
    </w:p>
    <w:p w14:paraId="76216752" w14:textId="5ABD05B1" w:rsidR="00264B38" w:rsidRPr="00264B38" w:rsidRDefault="00262DBB" w:rsidP="00264B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El potente sistema TGW FlashPick</w:t>
      </w:r>
      <w:r>
        <w:rPr>
          <w:rFonts w:cs="Arial"/>
          <w:b/>
          <w:sz w:val="24"/>
          <w:szCs w:val="24"/>
          <w:vertAlign w:val="superscript"/>
        </w:rPr>
        <w:t>®</w:t>
      </w:r>
      <w:r>
        <w:rPr>
          <w:rFonts w:cs="Arial"/>
          <w:b/>
          <w:sz w:val="24"/>
          <w:szCs w:val="24"/>
        </w:rPr>
        <w:t xml:space="preserve"> permite enviar hasta 225 000 pedidos a clientes al día</w:t>
      </w:r>
    </w:p>
    <w:p w14:paraId="6EC3D17C" w14:textId="428B53FA" w:rsidR="00BF03D6" w:rsidRPr="00264B38" w:rsidRDefault="002914A7" w:rsidP="00264B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software TGW Warehouse planifica, controla, supervisa y optimiza todos los procesos </w:t>
      </w:r>
    </w:p>
    <w:p w14:paraId="1E05192C" w14:textId="77777777" w:rsidR="00264B38" w:rsidRPr="00264B38" w:rsidRDefault="00264B38" w:rsidP="00264B38">
      <w:pPr>
        <w:pStyle w:val="Listenabsatz"/>
        <w:spacing w:line="360" w:lineRule="auto"/>
        <w:ind w:left="0" w:right="1693"/>
        <w:jc w:val="left"/>
        <w:rPr>
          <w:b/>
          <w:szCs w:val="20"/>
        </w:rPr>
      </w:pPr>
    </w:p>
    <w:p w14:paraId="395B2F94" w14:textId="1FCEFE53" w:rsidR="00465063" w:rsidRDefault="00BF03D6" w:rsidP="00BF03D6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 xml:space="preserve">(Marchtrenk, </w:t>
      </w:r>
      <w:r w:rsidR="00D819A8">
        <w:rPr>
          <w:b/>
          <w:szCs w:val="20"/>
        </w:rPr>
        <w:t>29</w:t>
      </w:r>
      <w:r>
        <w:rPr>
          <w:b/>
          <w:szCs w:val="20"/>
        </w:rPr>
        <w:t xml:space="preserve"> de </w:t>
      </w:r>
      <w:proofErr w:type="spellStart"/>
      <w:r>
        <w:rPr>
          <w:b/>
          <w:szCs w:val="20"/>
        </w:rPr>
        <w:t>mayo</w:t>
      </w:r>
      <w:proofErr w:type="spellEnd"/>
      <w:r>
        <w:rPr>
          <w:b/>
          <w:szCs w:val="20"/>
        </w:rPr>
        <w:t xml:space="preserve"> de 2023) </w:t>
      </w:r>
      <w:proofErr w:type="spellStart"/>
      <w:r>
        <w:rPr>
          <w:b/>
          <w:szCs w:val="20"/>
        </w:rPr>
        <w:t>Recientemente</w:t>
      </w:r>
      <w:proofErr w:type="spellEnd"/>
      <w:r>
        <w:rPr>
          <w:b/>
          <w:szCs w:val="20"/>
        </w:rPr>
        <w:t>, TGW North America ha marcado un nuevo hito en su historia: el especialista en intralogística entregó un Fulfillment Center altamente automatizado a la marca de lencería líder Victoria’s Secret &amp; Co. El importantísimo proyecto en Columbus, Ohio, no solo impresiona por sus dimensiones, sino que supone una referencia en cuanto a rendimiento y flexibilidad.</w:t>
      </w:r>
    </w:p>
    <w:p w14:paraId="516ADA4D" w14:textId="531DBAE7" w:rsidR="004E238B" w:rsidRDefault="004E238B" w:rsidP="00BF03D6">
      <w:pPr>
        <w:spacing w:line="360" w:lineRule="auto"/>
        <w:ind w:left="0" w:right="1693"/>
        <w:rPr>
          <w:b/>
          <w:szCs w:val="20"/>
        </w:rPr>
      </w:pPr>
    </w:p>
    <w:p w14:paraId="3B420BF2" w14:textId="49C8104C" w:rsidR="00D60D36" w:rsidRDefault="00A2392C" w:rsidP="00BF03D6">
      <w:pPr>
        <w:spacing w:line="360" w:lineRule="auto"/>
        <w:ind w:left="0" w:right="1693"/>
        <w:rPr>
          <w:szCs w:val="20"/>
        </w:rPr>
      </w:pPr>
      <w:r>
        <w:rPr>
          <w:szCs w:val="20"/>
        </w:rPr>
        <w:t xml:space="preserve">Victoria's Secret &amp; Co. es la mayor empresa de lencería del mundo y ofrece una amplia gama de colecciones modernas, de sujetadores, braguitas, </w:t>
      </w:r>
      <w:proofErr w:type="spellStart"/>
      <w:r>
        <w:rPr>
          <w:szCs w:val="20"/>
        </w:rPr>
        <w:t>conjuntos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ropa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dormir</w:t>
      </w:r>
      <w:proofErr w:type="spellEnd"/>
      <w:r>
        <w:rPr>
          <w:szCs w:val="20"/>
        </w:rPr>
        <w:t xml:space="preserve"> y </w:t>
      </w:r>
      <w:proofErr w:type="spellStart"/>
      <w:r w:rsidR="002B1991">
        <w:rPr>
          <w:szCs w:val="20"/>
        </w:rPr>
        <w:t>deporte</w:t>
      </w:r>
      <w:proofErr w:type="spellEnd"/>
      <w:r w:rsidR="002B1991">
        <w:rPr>
          <w:szCs w:val="20"/>
        </w:rPr>
        <w:t>,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así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como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perfumes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premiados</w:t>
      </w:r>
      <w:proofErr w:type="spellEnd"/>
      <w:r>
        <w:rPr>
          <w:szCs w:val="20"/>
        </w:rPr>
        <w:t xml:space="preserve"> y productos de cuidado corporal. Victoria's Secret &amp; Co. utilizará el nuevo Fulfillment Center de Columbus para el envío de pedidos </w:t>
      </w:r>
      <w:r w:rsidRPr="00D819A8">
        <w:rPr>
          <w:szCs w:val="20"/>
        </w:rPr>
        <w:t>online</w:t>
      </w:r>
      <w:r>
        <w:rPr>
          <w:szCs w:val="20"/>
        </w:rPr>
        <w:t xml:space="preserve"> a clientes en todo el territorio de Estados Unidos. Para garantizar tiempos de ejecución cortos, una entrega rápida y una gran calidad de servicio, la marca de moda ha invertido en una solución potente.</w:t>
      </w:r>
    </w:p>
    <w:p w14:paraId="0C8A764F" w14:textId="77777777" w:rsidR="00A2392C" w:rsidRDefault="00A2392C" w:rsidP="00BF03D6">
      <w:pPr>
        <w:spacing w:line="360" w:lineRule="auto"/>
        <w:ind w:left="0" w:right="1693"/>
        <w:rPr>
          <w:szCs w:val="20"/>
        </w:rPr>
      </w:pPr>
    </w:p>
    <w:p w14:paraId="3D80B362" w14:textId="359EAD13" w:rsidR="00D60D36" w:rsidRPr="00FC38EB" w:rsidRDefault="00677778" w:rsidP="00A0751D">
      <w:pPr>
        <w:tabs>
          <w:tab w:val="left" w:pos="6169"/>
        </w:tabs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>TGW Warehouse Software controla el proceso de picking</w:t>
      </w:r>
    </w:p>
    <w:p w14:paraId="27A2F859" w14:textId="77777777" w:rsidR="005A566F" w:rsidRDefault="005A566F" w:rsidP="00BF03D6">
      <w:pPr>
        <w:spacing w:line="360" w:lineRule="auto"/>
        <w:ind w:left="0" w:right="1693"/>
        <w:rPr>
          <w:szCs w:val="20"/>
        </w:rPr>
      </w:pPr>
    </w:p>
    <w:p w14:paraId="4829C214" w14:textId="6C92F4E9" w:rsidR="00F07254" w:rsidRDefault="004F5638" w:rsidP="00BF03D6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El sistema FlashPick</w:t>
      </w:r>
      <w:r>
        <w:rPr>
          <w:szCs w:val="20"/>
          <w:vertAlign w:val="superscript"/>
        </w:rPr>
        <w:t xml:space="preserve">® </w:t>
      </w:r>
      <w:proofErr w:type="spellStart"/>
      <w:r>
        <w:rPr>
          <w:szCs w:val="20"/>
        </w:rPr>
        <w:t>para</w:t>
      </w:r>
      <w:proofErr w:type="spellEnd"/>
      <w:r>
        <w:rPr>
          <w:szCs w:val="20"/>
        </w:rPr>
        <w:t xml:space="preserve"> la </w:t>
      </w:r>
      <w:proofErr w:type="spellStart"/>
      <w:r>
        <w:rPr>
          <w:szCs w:val="20"/>
        </w:rPr>
        <w:t>ejecución</w:t>
      </w:r>
      <w:proofErr w:type="spellEnd"/>
      <w:r>
        <w:rPr>
          <w:szCs w:val="20"/>
        </w:rPr>
        <w:t xml:space="preserve"> </w:t>
      </w:r>
      <w:proofErr w:type="spellStart"/>
      <w:r w:rsidR="004D7E1E">
        <w:rPr>
          <w:szCs w:val="20"/>
        </w:rPr>
        <w:t>automática</w:t>
      </w:r>
      <w:proofErr w:type="spellEnd"/>
      <w:r w:rsidR="004D7E1E">
        <w:rPr>
          <w:szCs w:val="20"/>
        </w:rPr>
        <w:t xml:space="preserve"> </w:t>
      </w:r>
      <w:r>
        <w:rPr>
          <w:szCs w:val="20"/>
        </w:rPr>
        <w:t xml:space="preserve">de </w:t>
      </w:r>
      <w:proofErr w:type="spellStart"/>
      <w:r>
        <w:rPr>
          <w:szCs w:val="20"/>
        </w:rPr>
        <w:t>pedidos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permite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preparar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pedidos</w:t>
      </w:r>
      <w:proofErr w:type="spellEnd"/>
      <w:r>
        <w:rPr>
          <w:szCs w:val="20"/>
        </w:rPr>
        <w:t xml:space="preserve"> de forma eficiente y con la máxima versatilidad. TGW Warehouse Software se encarga de planificar, controlar, supervisar y optimizar todos los procesos de picking.</w:t>
      </w:r>
      <w:r>
        <w:t xml:space="preserve"> </w:t>
      </w:r>
      <w:r>
        <w:rPr>
          <w:szCs w:val="20"/>
        </w:rPr>
        <w:t xml:space="preserve">La estructura modular del software </w:t>
      </w:r>
      <w:proofErr w:type="spellStart"/>
      <w:r>
        <w:rPr>
          <w:szCs w:val="20"/>
        </w:rPr>
        <w:t>cubre</w:t>
      </w:r>
      <w:proofErr w:type="spellEnd"/>
      <w:r>
        <w:rPr>
          <w:szCs w:val="20"/>
        </w:rPr>
        <w:t xml:space="preserve"> la </w:t>
      </w:r>
      <w:proofErr w:type="spellStart"/>
      <w:r w:rsidR="004D7E1E">
        <w:rPr>
          <w:szCs w:val="20"/>
        </w:rPr>
        <w:t>gestión</w:t>
      </w:r>
      <w:proofErr w:type="spellEnd"/>
      <w:r>
        <w:rPr>
          <w:szCs w:val="20"/>
        </w:rPr>
        <w:t xml:space="preserve"> de</w:t>
      </w:r>
      <w:r w:rsidR="004D7E1E">
        <w:rPr>
          <w:szCs w:val="20"/>
        </w:rPr>
        <w:t xml:space="preserve">l </w:t>
      </w:r>
      <w:proofErr w:type="spellStart"/>
      <w:r w:rsidR="004D7E1E">
        <w:rPr>
          <w:szCs w:val="20"/>
        </w:rPr>
        <w:t>almacenamiento</w:t>
      </w:r>
      <w:proofErr w:type="spellEnd"/>
      <w:r>
        <w:rPr>
          <w:szCs w:val="20"/>
        </w:rPr>
        <w:t xml:space="preserve"> en el shuttle, la preparación de pedidos, el control del flujo de mercancías y la visualización.</w:t>
      </w:r>
    </w:p>
    <w:p w14:paraId="52469ED2" w14:textId="3EE09BEC" w:rsidR="008C1E1E" w:rsidRDefault="008C1E1E" w:rsidP="008C1E1E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lastRenderedPageBreak/>
        <w:t>Hasta 225 000 pedidos por día</w:t>
      </w:r>
    </w:p>
    <w:p w14:paraId="334F3A60" w14:textId="5CA65684" w:rsidR="002E308F" w:rsidRDefault="002E308F" w:rsidP="004E238B">
      <w:pPr>
        <w:spacing w:line="360" w:lineRule="auto"/>
        <w:ind w:left="0" w:right="1695"/>
        <w:rPr>
          <w:szCs w:val="20"/>
        </w:rPr>
      </w:pPr>
    </w:p>
    <w:p w14:paraId="20B7AEEB" w14:textId="0DBFA915" w:rsidR="0098268C" w:rsidRDefault="00197F58" w:rsidP="004E238B">
      <w:pPr>
        <w:spacing w:line="360" w:lineRule="auto"/>
        <w:ind w:left="0" w:right="1695"/>
        <w:rPr>
          <w:szCs w:val="20"/>
        </w:rPr>
      </w:pPr>
      <w:r>
        <w:rPr>
          <w:szCs w:val="20"/>
        </w:rPr>
        <w:t>En horas punta, FlashPick</w:t>
      </w:r>
      <w:r>
        <w:rPr>
          <w:rFonts w:cs="Arial"/>
          <w:szCs w:val="20"/>
          <w:vertAlign w:val="superscript"/>
        </w:rPr>
        <w:t>®</w:t>
      </w:r>
      <w:r>
        <w:rPr>
          <w:szCs w:val="20"/>
        </w:rPr>
        <w:t xml:space="preserve"> permite realizar hasta 640 000 picks por día, junto con un sistema Pick-to-Light que realiza 360 000 picks diarios. El potente centro neurálgico es un sistema de shuttle en el que los vehículos Stingray se encargan del almacenaje y desalmacenaje automáticos. Los </w:t>
      </w:r>
      <w:proofErr w:type="spellStart"/>
      <w:r>
        <w:rPr>
          <w:szCs w:val="20"/>
        </w:rPr>
        <w:t>pedidos</w:t>
      </w:r>
      <w:proofErr w:type="spellEnd"/>
      <w:r>
        <w:rPr>
          <w:szCs w:val="20"/>
        </w:rPr>
        <w:t xml:space="preserve"> se </w:t>
      </w:r>
      <w:proofErr w:type="spellStart"/>
      <w:r w:rsidR="00AB6A9C">
        <w:rPr>
          <w:szCs w:val="20"/>
        </w:rPr>
        <w:t>recogen</w:t>
      </w:r>
      <w:proofErr w:type="spellEnd"/>
      <w:r>
        <w:rPr>
          <w:szCs w:val="20"/>
        </w:rPr>
        <w:t xml:space="preserve"> en </w:t>
      </w:r>
      <w:proofErr w:type="spellStart"/>
      <w:r>
        <w:rPr>
          <w:szCs w:val="20"/>
        </w:rPr>
        <w:t>puestos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trabajo</w:t>
      </w:r>
      <w:proofErr w:type="spellEnd"/>
      <w:r>
        <w:rPr>
          <w:szCs w:val="20"/>
        </w:rPr>
        <w:t xml:space="preserve"> de preparación de pedidos PickCenter One manuales y en un PickCenter Rovolution con asistencia robótica.</w:t>
      </w:r>
    </w:p>
    <w:p w14:paraId="10829A49" w14:textId="66104047" w:rsidR="006B33AE" w:rsidRDefault="000F2197" w:rsidP="000F2197">
      <w:pPr>
        <w:tabs>
          <w:tab w:val="left" w:pos="4641"/>
        </w:tabs>
        <w:spacing w:line="360" w:lineRule="auto"/>
        <w:ind w:left="0" w:right="1695"/>
        <w:rPr>
          <w:szCs w:val="20"/>
        </w:rPr>
      </w:pPr>
      <w:r>
        <w:rPr>
          <w:szCs w:val="20"/>
        </w:rPr>
        <w:tab/>
      </w:r>
    </w:p>
    <w:p w14:paraId="189396F4" w14:textId="50B55799" w:rsidR="006B33AE" w:rsidRPr="000738F7" w:rsidRDefault="006B33AE" w:rsidP="004E238B">
      <w:pPr>
        <w:spacing w:line="360" w:lineRule="auto"/>
        <w:ind w:left="0" w:right="1695"/>
        <w:rPr>
          <w:b/>
          <w:szCs w:val="20"/>
        </w:rPr>
      </w:pPr>
      <w:r>
        <w:rPr>
          <w:b/>
          <w:szCs w:val="20"/>
        </w:rPr>
        <w:t>TGW como socio predilecto</w:t>
      </w:r>
    </w:p>
    <w:p w14:paraId="51297437" w14:textId="4BEF0E9F" w:rsidR="00414B9C" w:rsidRDefault="00414B9C" w:rsidP="004E238B">
      <w:pPr>
        <w:spacing w:line="360" w:lineRule="auto"/>
        <w:ind w:left="0" w:right="1695"/>
        <w:rPr>
          <w:szCs w:val="20"/>
        </w:rPr>
      </w:pPr>
      <w:bookmarkStart w:id="0" w:name="_GoBack"/>
      <w:bookmarkEnd w:id="0"/>
    </w:p>
    <w:p w14:paraId="2D10B9C9" w14:textId="5F66AD12" w:rsidR="00414B9C" w:rsidRDefault="00414B9C" w:rsidP="004E238B">
      <w:pPr>
        <w:spacing w:line="360" w:lineRule="auto"/>
        <w:ind w:left="0" w:right="1695"/>
        <w:rPr>
          <w:szCs w:val="20"/>
        </w:rPr>
      </w:pPr>
      <w:r>
        <w:rPr>
          <w:szCs w:val="20"/>
        </w:rPr>
        <w:t xml:space="preserve">"La instalación del centro de distribución para Victoria's Secret &amp; Co. es un nuevo hito para TGW en </w:t>
      </w:r>
      <w:proofErr w:type="spellStart"/>
      <w:r>
        <w:rPr>
          <w:szCs w:val="20"/>
        </w:rPr>
        <w:t>Norteamérica</w:t>
      </w:r>
      <w:proofErr w:type="spellEnd"/>
      <w:r>
        <w:rPr>
          <w:szCs w:val="20"/>
        </w:rPr>
        <w:t xml:space="preserve">", </w:t>
      </w:r>
      <w:proofErr w:type="spellStart"/>
      <w:r>
        <w:rPr>
          <w:szCs w:val="20"/>
        </w:rPr>
        <w:t>destaca</w:t>
      </w:r>
      <w:proofErr w:type="spellEnd"/>
      <w:r>
        <w:rPr>
          <w:szCs w:val="20"/>
        </w:rPr>
        <w:t xml:space="preserve"> </w:t>
      </w:r>
      <w:r w:rsidR="00494B1D" w:rsidRPr="00494B1D">
        <w:rPr>
          <w:szCs w:val="20"/>
        </w:rPr>
        <w:t>Rhett Williamson, Chief Operating Officer</w:t>
      </w:r>
      <w:r>
        <w:rPr>
          <w:szCs w:val="20"/>
        </w:rPr>
        <w:t xml:space="preserve"> de TGW North America. "Se vuelve a poner de manifiesto nuestra capacidad técnica y nuestra experiencia para realizar proyectos grandes y complejos con éxito".</w:t>
      </w:r>
    </w:p>
    <w:p w14:paraId="11E13C27" w14:textId="7B0BEE5E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13C488FC" w14:textId="217450AE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0647E0F5" w14:textId="1B85BB7A" w:rsidR="00EB38B0" w:rsidRDefault="00494B1D" w:rsidP="004E238B">
      <w:pPr>
        <w:spacing w:line="360" w:lineRule="auto"/>
        <w:ind w:left="0" w:right="1695"/>
        <w:rPr>
          <w:szCs w:val="20"/>
        </w:rPr>
      </w:pPr>
      <w:hyperlink r:id="rId11" w:history="1">
        <w:r w:rsidR="008178C5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241AA104" w14:textId="77777777" w:rsidR="0098268C" w:rsidRDefault="0098268C" w:rsidP="004E238B">
      <w:pPr>
        <w:spacing w:line="360" w:lineRule="auto"/>
        <w:ind w:left="0" w:right="1695"/>
        <w:rPr>
          <w:szCs w:val="20"/>
        </w:rPr>
      </w:pPr>
    </w:p>
    <w:p w14:paraId="22DD4CE6" w14:textId="1E406827" w:rsidR="004E238B" w:rsidRDefault="004E238B" w:rsidP="00BF03D6">
      <w:pPr>
        <w:spacing w:line="360" w:lineRule="auto"/>
        <w:ind w:left="0" w:right="1693"/>
        <w:rPr>
          <w:szCs w:val="20"/>
        </w:rPr>
      </w:pPr>
    </w:p>
    <w:p w14:paraId="27E8561E" w14:textId="2C78DE9C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3400CCBB" w14:textId="12F27A55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7B4BC37A" w14:textId="5F724556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3DDAD533" w14:textId="73FECDF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130D008" w14:textId="50AF2E31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6B8BF413" w14:textId="0785A0B4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2C72BFAE" w14:textId="167B64C3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6D53BD3" w14:textId="3788A9F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0ED8F4D" w14:textId="7E0F34ED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286E5DA9" w14:textId="0FE331D6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781B5F22" w14:textId="5959CE74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079440AC" w14:textId="28FAD35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398AD78C" w14:textId="3E8898DB" w:rsidR="003C544E" w:rsidRDefault="003C544E" w:rsidP="00BF03D6">
      <w:pPr>
        <w:spacing w:line="360" w:lineRule="auto"/>
        <w:ind w:left="0" w:right="1693"/>
        <w:rPr>
          <w:szCs w:val="20"/>
        </w:rPr>
      </w:pPr>
    </w:p>
    <w:p w14:paraId="195CEE44" w14:textId="77777777" w:rsidR="003C544E" w:rsidRDefault="003C544E" w:rsidP="00BF03D6">
      <w:pPr>
        <w:spacing w:line="360" w:lineRule="auto"/>
        <w:ind w:left="0" w:right="1693"/>
        <w:rPr>
          <w:szCs w:val="20"/>
        </w:rPr>
      </w:pPr>
    </w:p>
    <w:p w14:paraId="1C90E0D4" w14:textId="79898A74" w:rsidR="00C70FB3" w:rsidRDefault="00C70FB3" w:rsidP="00BF03D6">
      <w:pPr>
        <w:spacing w:line="360" w:lineRule="auto"/>
        <w:ind w:left="0" w:right="1693"/>
        <w:rPr>
          <w:szCs w:val="20"/>
        </w:rPr>
      </w:pPr>
    </w:p>
    <w:p w14:paraId="2C918877" w14:textId="77777777" w:rsidR="008E5CC7" w:rsidRDefault="008E5CC7" w:rsidP="00BF03D6">
      <w:pPr>
        <w:spacing w:line="360" w:lineRule="auto"/>
        <w:ind w:left="0" w:right="1693"/>
        <w:rPr>
          <w:szCs w:val="20"/>
        </w:rPr>
      </w:pPr>
    </w:p>
    <w:p w14:paraId="5AA8CA69" w14:textId="77777777" w:rsidR="00C27E19" w:rsidRDefault="00C27E19" w:rsidP="00BF03D6">
      <w:pPr>
        <w:spacing w:line="360" w:lineRule="auto"/>
        <w:ind w:left="0" w:right="1693"/>
        <w:rPr>
          <w:szCs w:val="20"/>
        </w:rPr>
      </w:pPr>
    </w:p>
    <w:p w14:paraId="709AA859" w14:textId="248A7F23" w:rsidR="008C1E1E" w:rsidRDefault="008C1E1E" w:rsidP="00BC7952">
      <w:pPr>
        <w:spacing w:line="240" w:lineRule="auto"/>
        <w:ind w:left="0" w:right="1693"/>
        <w:rPr>
          <w:szCs w:val="20"/>
        </w:rPr>
      </w:pPr>
    </w:p>
    <w:p w14:paraId="62BF05E4" w14:textId="098FE6EC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lastRenderedPageBreak/>
        <w:t>Acerca de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es un proveedor internacional líder de soluciones de intralogística. Desde hace más de 50 años, el especialista austriaco implementa instalaciones automatizadas para sus clientes internacionales, de la A de Adidas a la Z de Zalando. Como integrador de sistemas, TGW se encarga de la planificación, la producción y la realización de centros logísticos complejos, desde la mecatrónica y la robótica hasta el control y el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tiene oficinas en Europa, China y EE. UU. y emplea a más de 4 400 personas en todo el mundo. En el ejercicio 2021/2022, la empresa obtuvo una facturación total de 924 millones de euros.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Ilustraciones: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Reproducción sin comisiones previa indicación de la fuente y para notas de prensa relacionadas principalmente con TGW Logistics Group GmbH. Queda prohibida la reproducción con fines promocionales.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Contacto: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Correo electrónico: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Contacto de prensa: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+43.(0)664.88459713</w:t>
      </w:r>
    </w:p>
    <w:p w14:paraId="36D3372D" w14:textId="5C630164" w:rsidR="00BC7952" w:rsidRPr="005F719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5FF89296" w14:textId="77777777" w:rsidR="00BC7952" w:rsidRPr="00460F45" w:rsidRDefault="00BC7952" w:rsidP="00BC7952">
      <w:pPr>
        <w:spacing w:line="240" w:lineRule="auto"/>
        <w:ind w:left="0" w:right="1693"/>
      </w:pPr>
    </w:p>
    <w:p w14:paraId="5E1C6B24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F3E4F" w14:textId="77777777" w:rsidR="00A018AE" w:rsidRDefault="00A018AE" w:rsidP="00764006">
      <w:pPr>
        <w:spacing w:line="240" w:lineRule="auto"/>
      </w:pPr>
      <w:r>
        <w:separator/>
      </w:r>
    </w:p>
  </w:endnote>
  <w:endnote w:type="continuationSeparator" w:id="0">
    <w:p w14:paraId="29F3A259" w14:textId="77777777" w:rsidR="00A018AE" w:rsidRDefault="00A018A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003AAC97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494B1D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494B1D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7CA7" w14:textId="77777777" w:rsidR="00A018AE" w:rsidRDefault="00A018AE" w:rsidP="00764006">
      <w:pPr>
        <w:spacing w:line="240" w:lineRule="auto"/>
      </w:pPr>
      <w:r>
        <w:separator/>
      </w:r>
    </w:p>
  </w:footnote>
  <w:footnote w:type="continuationSeparator" w:id="0">
    <w:p w14:paraId="56B1F944" w14:textId="77777777" w:rsidR="00A018AE" w:rsidRDefault="00A018A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Nota de prensa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044"/>
    <w:rsid w:val="000B5A93"/>
    <w:rsid w:val="000B5C66"/>
    <w:rsid w:val="000B6542"/>
    <w:rsid w:val="000B65C7"/>
    <w:rsid w:val="000B65E5"/>
    <w:rsid w:val="000B74E7"/>
    <w:rsid w:val="000B7FAB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197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07D34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1099"/>
    <w:rsid w:val="001415B4"/>
    <w:rsid w:val="00142015"/>
    <w:rsid w:val="00142599"/>
    <w:rsid w:val="001429F4"/>
    <w:rsid w:val="00142C72"/>
    <w:rsid w:val="00142D0C"/>
    <w:rsid w:val="00144430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1416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BF4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6AE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0B37"/>
    <w:rsid w:val="001E1155"/>
    <w:rsid w:val="001E22B6"/>
    <w:rsid w:val="001E2746"/>
    <w:rsid w:val="001E28E9"/>
    <w:rsid w:val="001E2A74"/>
    <w:rsid w:val="001E34A5"/>
    <w:rsid w:val="001E57E9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D5B"/>
    <w:rsid w:val="00256A53"/>
    <w:rsid w:val="002601B9"/>
    <w:rsid w:val="00260C57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14A7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1991"/>
    <w:rsid w:val="002B21E2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B14"/>
    <w:rsid w:val="00316C9A"/>
    <w:rsid w:val="00317CAA"/>
    <w:rsid w:val="00320511"/>
    <w:rsid w:val="00321EEF"/>
    <w:rsid w:val="00322CCA"/>
    <w:rsid w:val="003238A9"/>
    <w:rsid w:val="0032656C"/>
    <w:rsid w:val="00326C26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5D6"/>
    <w:rsid w:val="00352A60"/>
    <w:rsid w:val="00352D7B"/>
    <w:rsid w:val="003533A3"/>
    <w:rsid w:val="00353A88"/>
    <w:rsid w:val="003541AF"/>
    <w:rsid w:val="00354454"/>
    <w:rsid w:val="00354CBD"/>
    <w:rsid w:val="00355C22"/>
    <w:rsid w:val="00356625"/>
    <w:rsid w:val="0035675D"/>
    <w:rsid w:val="003600A8"/>
    <w:rsid w:val="00364E7C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05E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1305"/>
    <w:rsid w:val="003A1D5D"/>
    <w:rsid w:val="003A23C4"/>
    <w:rsid w:val="003A2AAC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7F8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44E"/>
    <w:rsid w:val="003C5D23"/>
    <w:rsid w:val="003C66B4"/>
    <w:rsid w:val="003C7889"/>
    <w:rsid w:val="003C7D5B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4B9C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1D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E1E"/>
    <w:rsid w:val="004D7FC9"/>
    <w:rsid w:val="004E12DD"/>
    <w:rsid w:val="004E238B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5638"/>
    <w:rsid w:val="004F5AB1"/>
    <w:rsid w:val="004F6224"/>
    <w:rsid w:val="004F6ECF"/>
    <w:rsid w:val="004F7E97"/>
    <w:rsid w:val="00500E2C"/>
    <w:rsid w:val="0050153C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3149"/>
    <w:rsid w:val="005238D5"/>
    <w:rsid w:val="00523FAC"/>
    <w:rsid w:val="005248E5"/>
    <w:rsid w:val="0052559B"/>
    <w:rsid w:val="00532212"/>
    <w:rsid w:val="005331E2"/>
    <w:rsid w:val="00534D59"/>
    <w:rsid w:val="00537584"/>
    <w:rsid w:val="005401C3"/>
    <w:rsid w:val="00540EBB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566F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0130"/>
    <w:rsid w:val="005C09A8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C18"/>
    <w:rsid w:val="005D1282"/>
    <w:rsid w:val="005D13F3"/>
    <w:rsid w:val="005D1C4E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196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9E2"/>
    <w:rsid w:val="00634E04"/>
    <w:rsid w:val="006377A9"/>
    <w:rsid w:val="006418F1"/>
    <w:rsid w:val="006437FF"/>
    <w:rsid w:val="00643CDE"/>
    <w:rsid w:val="00644F94"/>
    <w:rsid w:val="006474AB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67FCF"/>
    <w:rsid w:val="00670BF3"/>
    <w:rsid w:val="0067197F"/>
    <w:rsid w:val="0067358E"/>
    <w:rsid w:val="00673B03"/>
    <w:rsid w:val="006741A8"/>
    <w:rsid w:val="0067659E"/>
    <w:rsid w:val="00676927"/>
    <w:rsid w:val="00676996"/>
    <w:rsid w:val="00677778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4D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33AE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5D32"/>
    <w:rsid w:val="0070626C"/>
    <w:rsid w:val="00706C09"/>
    <w:rsid w:val="00706F1E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7B6"/>
    <w:rsid w:val="00787E86"/>
    <w:rsid w:val="007922BE"/>
    <w:rsid w:val="007927AE"/>
    <w:rsid w:val="00794459"/>
    <w:rsid w:val="00795C00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1E0D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8C5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37DD0"/>
    <w:rsid w:val="00840838"/>
    <w:rsid w:val="008408FD"/>
    <w:rsid w:val="00840FB1"/>
    <w:rsid w:val="0084242F"/>
    <w:rsid w:val="0084299A"/>
    <w:rsid w:val="00845122"/>
    <w:rsid w:val="008458F7"/>
    <w:rsid w:val="00850226"/>
    <w:rsid w:val="00850C48"/>
    <w:rsid w:val="00851D29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15D"/>
    <w:rsid w:val="008D3DF9"/>
    <w:rsid w:val="008D4938"/>
    <w:rsid w:val="008D54BE"/>
    <w:rsid w:val="008D565D"/>
    <w:rsid w:val="008D5A77"/>
    <w:rsid w:val="008D5D3E"/>
    <w:rsid w:val="008D5D71"/>
    <w:rsid w:val="008D5F50"/>
    <w:rsid w:val="008D6535"/>
    <w:rsid w:val="008D6A9B"/>
    <w:rsid w:val="008D7250"/>
    <w:rsid w:val="008D7C58"/>
    <w:rsid w:val="008E0327"/>
    <w:rsid w:val="008E1DAC"/>
    <w:rsid w:val="008E224F"/>
    <w:rsid w:val="008E39F5"/>
    <w:rsid w:val="008E435F"/>
    <w:rsid w:val="008E47BC"/>
    <w:rsid w:val="008E5000"/>
    <w:rsid w:val="008E5CC7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5ED"/>
    <w:rsid w:val="009428A3"/>
    <w:rsid w:val="00942EDF"/>
    <w:rsid w:val="009440B4"/>
    <w:rsid w:val="0094458E"/>
    <w:rsid w:val="00944A2A"/>
    <w:rsid w:val="00946640"/>
    <w:rsid w:val="00954558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5EA5"/>
    <w:rsid w:val="009767FB"/>
    <w:rsid w:val="009768AC"/>
    <w:rsid w:val="009768E6"/>
    <w:rsid w:val="00976D33"/>
    <w:rsid w:val="00981E8E"/>
    <w:rsid w:val="00981F5D"/>
    <w:rsid w:val="0098268C"/>
    <w:rsid w:val="00983FB8"/>
    <w:rsid w:val="009843FC"/>
    <w:rsid w:val="009849E9"/>
    <w:rsid w:val="00986D52"/>
    <w:rsid w:val="0099164D"/>
    <w:rsid w:val="00991FF1"/>
    <w:rsid w:val="0099272E"/>
    <w:rsid w:val="00992DBB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BB5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1E5"/>
    <w:rsid w:val="009D1BC4"/>
    <w:rsid w:val="009D3358"/>
    <w:rsid w:val="009D40EE"/>
    <w:rsid w:val="009D4476"/>
    <w:rsid w:val="009D4BD0"/>
    <w:rsid w:val="009D4C37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65D1"/>
    <w:rsid w:val="009F7A1B"/>
    <w:rsid w:val="009F7A83"/>
    <w:rsid w:val="00A00CCD"/>
    <w:rsid w:val="00A01046"/>
    <w:rsid w:val="00A018AE"/>
    <w:rsid w:val="00A018E2"/>
    <w:rsid w:val="00A01BF4"/>
    <w:rsid w:val="00A02064"/>
    <w:rsid w:val="00A02283"/>
    <w:rsid w:val="00A0248F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0751D"/>
    <w:rsid w:val="00A201C8"/>
    <w:rsid w:val="00A22863"/>
    <w:rsid w:val="00A22B75"/>
    <w:rsid w:val="00A2351E"/>
    <w:rsid w:val="00A2371E"/>
    <w:rsid w:val="00A2392C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E2"/>
    <w:rsid w:val="00AB3154"/>
    <w:rsid w:val="00AB3FC4"/>
    <w:rsid w:val="00AB4626"/>
    <w:rsid w:val="00AB6A9C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51A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7C7"/>
    <w:rsid w:val="00BA0A54"/>
    <w:rsid w:val="00BA19C7"/>
    <w:rsid w:val="00BA3D94"/>
    <w:rsid w:val="00BA4474"/>
    <w:rsid w:val="00BA4CE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6EF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1C0F"/>
    <w:rsid w:val="00BE5942"/>
    <w:rsid w:val="00BE71EE"/>
    <w:rsid w:val="00BE7DE1"/>
    <w:rsid w:val="00BF03D6"/>
    <w:rsid w:val="00BF22DF"/>
    <w:rsid w:val="00BF29A3"/>
    <w:rsid w:val="00BF4B6A"/>
    <w:rsid w:val="00BF4E96"/>
    <w:rsid w:val="00BF6A07"/>
    <w:rsid w:val="00C00CE0"/>
    <w:rsid w:val="00C00DA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27E19"/>
    <w:rsid w:val="00C31626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674BC"/>
    <w:rsid w:val="00C70FB3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9739E"/>
    <w:rsid w:val="00CA0164"/>
    <w:rsid w:val="00CA0438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0EAB"/>
    <w:rsid w:val="00CF1294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0E99"/>
    <w:rsid w:val="00D01324"/>
    <w:rsid w:val="00D01632"/>
    <w:rsid w:val="00D024D9"/>
    <w:rsid w:val="00D0311C"/>
    <w:rsid w:val="00D045E4"/>
    <w:rsid w:val="00D04F27"/>
    <w:rsid w:val="00D0585C"/>
    <w:rsid w:val="00D06BF7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0D36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19A8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0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180F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7C1"/>
    <w:rsid w:val="00EB5B7F"/>
    <w:rsid w:val="00EB5E80"/>
    <w:rsid w:val="00EB66C3"/>
    <w:rsid w:val="00EB6CD4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1E7"/>
    <w:rsid w:val="00EE4F37"/>
    <w:rsid w:val="00EE5466"/>
    <w:rsid w:val="00EE617F"/>
    <w:rsid w:val="00EE6258"/>
    <w:rsid w:val="00EE6AB7"/>
    <w:rsid w:val="00EF116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8DD"/>
    <w:rsid w:val="00EF5E3E"/>
    <w:rsid w:val="00EF740E"/>
    <w:rsid w:val="00F037F5"/>
    <w:rsid w:val="00F04DCF"/>
    <w:rsid w:val="00F04F9A"/>
    <w:rsid w:val="00F06EA2"/>
    <w:rsid w:val="00F07254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3C8B"/>
    <w:rsid w:val="00F34039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7BF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bbba48b-ed70-4d4f-bc70-b74f508f6d15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A5EB7-348B-4439-A677-297AA185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TGW suministra un Fulfillment Center altamente automatizado a Victoria's Secret &amp; Co.</vt:lpstr>
      <vt:lpstr>Victoria’s Secret: TGW übergibt hochautomatisiertes Fulfillment Center</vt:lpstr>
    </vt:vector>
  </TitlesOfParts>
  <Company>Klug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suministra un Fulfillment Center altamente automatizado a Victoria's Secret &amp; Co.</dc:title>
  <dc:subject/>
  <dc:creator>Tahedl Alexander</dc:creator>
  <cp:keywords>TGW suministra un Fulfillment Center altamente automatizado a Victoria's Secret &amp; Co.</cp:keywords>
  <dc:description/>
  <cp:lastModifiedBy>Tahedl Alexander</cp:lastModifiedBy>
  <cp:revision>8</cp:revision>
  <cp:lastPrinted>2022-02-02T15:07:00Z</cp:lastPrinted>
  <dcterms:created xsi:type="dcterms:W3CDTF">2023-05-17T07:42:00Z</dcterms:created>
  <dcterms:modified xsi:type="dcterms:W3CDTF">2023-05-17T14:23:00Z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