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EEC9" w14:textId="77777777" w:rsidR="000F039C" w:rsidRDefault="000F039C" w:rsidP="000E1710">
      <w:pPr>
        <w:tabs>
          <w:tab w:val="left" w:pos="7797"/>
        </w:tabs>
        <w:ind w:right="1693"/>
        <w:rPr>
          <w:rFonts w:cs="Arial"/>
          <w:b/>
          <w:sz w:val="28"/>
          <w:szCs w:val="28"/>
        </w:rPr>
      </w:pPr>
      <w:bookmarkStart w:id="0" w:name="_GoBack"/>
      <w:r>
        <w:rPr>
          <w:rFonts w:cs="Arial"/>
          <w:b/>
          <w:sz w:val="28"/>
          <w:szCs w:val="28"/>
        </w:rPr>
        <w:t>TGW logra la</w:t>
      </w:r>
      <w:r w:rsidRPr="00323396">
        <w:rPr>
          <w:rFonts w:cs="Arial"/>
          <w:b/>
          <w:sz w:val="28"/>
          <w:szCs w:val="28"/>
          <w:lang w:val="fr-SN"/>
        </w:rPr>
        <w:t xml:space="preserve"> mayor</w:t>
      </w:r>
      <w:r>
        <w:rPr>
          <w:rFonts w:cs="Arial"/>
          <w:b/>
          <w:sz w:val="28"/>
          <w:szCs w:val="28"/>
        </w:rPr>
        <w:t xml:space="preserve"> facturación en la historia de la empresa</w:t>
      </w:r>
    </w:p>
    <w:bookmarkEnd w:id="0"/>
    <w:p w14:paraId="61F5736D" w14:textId="77777777" w:rsidR="00E95184" w:rsidRPr="004F27BE" w:rsidRDefault="00E95184" w:rsidP="000F039C">
      <w:pPr>
        <w:tabs>
          <w:tab w:val="left" w:pos="7797"/>
        </w:tabs>
        <w:ind w:right="1693"/>
        <w:jc w:val="both"/>
        <w:rPr>
          <w:rFonts w:cs="Arial"/>
          <w:b/>
          <w:sz w:val="22"/>
        </w:rPr>
      </w:pPr>
    </w:p>
    <w:p w14:paraId="205A17B5" w14:textId="4AA2BD01" w:rsidR="00E63E18" w:rsidRPr="00DD1EC2" w:rsidRDefault="000F039C" w:rsidP="00C31CEB">
      <w:pPr>
        <w:pStyle w:val="Listenabsatz"/>
        <w:numPr>
          <w:ilvl w:val="0"/>
          <w:numId w:val="24"/>
        </w:numPr>
        <w:ind w:right="1268"/>
        <w:rPr>
          <w:rFonts w:cs="Arial"/>
          <w:b/>
          <w:sz w:val="22"/>
        </w:rPr>
      </w:pPr>
      <w:r>
        <w:rPr>
          <w:rFonts w:cs="Arial"/>
          <w:b/>
          <w:sz w:val="22"/>
        </w:rPr>
        <w:t xml:space="preserve">La facturación aumenta </w:t>
      </w:r>
      <w:r w:rsidR="00DD4799">
        <w:rPr>
          <w:rFonts w:cs="Arial"/>
          <w:b/>
          <w:sz w:val="22"/>
        </w:rPr>
        <w:t xml:space="preserve">a </w:t>
      </w:r>
      <w:r>
        <w:rPr>
          <w:rFonts w:cs="Arial"/>
          <w:b/>
          <w:sz w:val="22"/>
        </w:rPr>
        <w:t>835,8 millones de euros y bate un nuevo récord en los cincuenta años de historia de la empresa</w:t>
      </w:r>
    </w:p>
    <w:p w14:paraId="3B4C3EF0" w14:textId="224D1A86" w:rsidR="001A08BF" w:rsidRPr="001A08BF" w:rsidRDefault="00142D57" w:rsidP="00C31CEB">
      <w:pPr>
        <w:pStyle w:val="Listenabsatz"/>
        <w:numPr>
          <w:ilvl w:val="0"/>
          <w:numId w:val="24"/>
        </w:numPr>
        <w:ind w:right="1268"/>
        <w:rPr>
          <w:rFonts w:cs="Arial"/>
          <w:b/>
          <w:szCs w:val="20"/>
        </w:rPr>
      </w:pPr>
      <w:r>
        <w:rPr>
          <w:rFonts w:cs="Arial"/>
          <w:b/>
          <w:sz w:val="22"/>
        </w:rPr>
        <w:t>La plantilla aumenta en 250 empleados hasta los 3</w:t>
      </w:r>
      <w:r w:rsidR="00DD4799">
        <w:rPr>
          <w:rFonts w:cs="Arial"/>
          <w:b/>
          <w:sz w:val="22"/>
        </w:rPr>
        <w:t>.</w:t>
      </w:r>
      <w:r>
        <w:rPr>
          <w:rFonts w:cs="Arial"/>
          <w:b/>
          <w:sz w:val="22"/>
        </w:rPr>
        <w:t>667</w:t>
      </w:r>
      <w:r>
        <w:rPr>
          <w:rFonts w:cs="Arial"/>
          <w:b/>
          <w:sz w:val="18"/>
          <w:szCs w:val="18"/>
        </w:rPr>
        <w:t xml:space="preserve"> (a</w:t>
      </w:r>
      <w:r w:rsidR="00DD4799">
        <w:rPr>
          <w:rFonts w:cs="Arial"/>
          <w:b/>
          <w:sz w:val="18"/>
          <w:szCs w:val="18"/>
        </w:rPr>
        <w:t>l</w:t>
      </w:r>
      <w:r>
        <w:rPr>
          <w:rFonts w:cs="Arial"/>
          <w:b/>
          <w:sz w:val="18"/>
          <w:szCs w:val="18"/>
        </w:rPr>
        <w:t xml:space="preserve"> 30 de junio de 2020)</w:t>
      </w:r>
    </w:p>
    <w:p w14:paraId="77176243" w14:textId="7225AB4D" w:rsidR="00C31CEB" w:rsidRPr="00C31CEB" w:rsidRDefault="00EC4AF0" w:rsidP="00C31CEB">
      <w:pPr>
        <w:pStyle w:val="Listenabsatz"/>
        <w:numPr>
          <w:ilvl w:val="0"/>
          <w:numId w:val="24"/>
        </w:numPr>
        <w:ind w:right="1268"/>
        <w:rPr>
          <w:rFonts w:cs="Arial"/>
          <w:b/>
          <w:szCs w:val="20"/>
        </w:rPr>
      </w:pPr>
      <w:r>
        <w:rPr>
          <w:rFonts w:cs="Arial"/>
          <w:b/>
          <w:sz w:val="22"/>
        </w:rPr>
        <w:t>Crecimiento de la plantilla</w:t>
      </w:r>
      <w:r w:rsidR="00C31CEB">
        <w:rPr>
          <w:rFonts w:cs="Arial"/>
          <w:b/>
          <w:sz w:val="22"/>
        </w:rPr>
        <w:t xml:space="preserve"> en más de 400 nuevos empleados</w:t>
      </w:r>
      <w:r>
        <w:rPr>
          <w:rFonts w:cs="Arial"/>
          <w:b/>
          <w:sz w:val="22"/>
        </w:rPr>
        <w:t xml:space="preserve"> en el presente año fiscal</w:t>
      </w:r>
    </w:p>
    <w:p w14:paraId="5721A5D1" w14:textId="77777777" w:rsidR="007F66BF" w:rsidRPr="00DD1EC2" w:rsidRDefault="007F66BF" w:rsidP="00C31CEB">
      <w:pPr>
        <w:pStyle w:val="Listenabsatz"/>
        <w:numPr>
          <w:ilvl w:val="0"/>
          <w:numId w:val="24"/>
        </w:numPr>
        <w:ind w:right="1268"/>
        <w:rPr>
          <w:rFonts w:cs="Arial"/>
          <w:b/>
          <w:sz w:val="22"/>
        </w:rPr>
      </w:pPr>
      <w:r>
        <w:rPr>
          <w:rFonts w:cs="Arial"/>
          <w:b/>
          <w:sz w:val="22"/>
        </w:rPr>
        <w:t>El EBIT aumenta a 37,1 millones de euros</w:t>
      </w:r>
    </w:p>
    <w:p w14:paraId="40E317F8" w14:textId="77777777" w:rsidR="002D4595" w:rsidRDefault="002D4595" w:rsidP="00A9753C">
      <w:pPr>
        <w:tabs>
          <w:tab w:val="left" w:pos="2514"/>
          <w:tab w:val="left" w:pos="7797"/>
        </w:tabs>
        <w:ind w:right="1693"/>
        <w:rPr>
          <w:rFonts w:cs="Arial"/>
          <w:b/>
          <w:szCs w:val="20"/>
        </w:rPr>
      </w:pPr>
    </w:p>
    <w:p w14:paraId="631B6526" w14:textId="77777777" w:rsidR="0052724A" w:rsidRDefault="00A93BE5" w:rsidP="000F039C">
      <w:pPr>
        <w:tabs>
          <w:tab w:val="left" w:pos="7797"/>
        </w:tabs>
        <w:ind w:right="1693"/>
        <w:jc w:val="both"/>
        <w:rPr>
          <w:rFonts w:cs="Arial"/>
          <w:b/>
          <w:szCs w:val="20"/>
        </w:rPr>
      </w:pPr>
      <w:r>
        <w:rPr>
          <w:rFonts w:cs="Arial"/>
          <w:b/>
          <w:szCs w:val="20"/>
        </w:rPr>
        <w:t>(Marchtrenk, 25 de septiembre de 2020). La empresa TGW Logistics Group con sede en Marchtrenk ha cerrado con éxito el año fiscal 2019/2020 (del 1 de julio de 2019 hasta el 30 de junio de 2020). La facturación del especialista internacional en intralogística aumentó de 719 a 835,8 millones de euros. Esto supone un nuevo récord en los cincuenta años de historia de la empresa. El número de empleados también aumentó significativamente: en más de 250 hasta los 3667 empleados. El ritmo de crecimiento de los últimos años continúa, por tanto, de manera sostenida.</w:t>
      </w:r>
    </w:p>
    <w:p w14:paraId="2D045DC3" w14:textId="77777777" w:rsidR="00A93BE5" w:rsidRPr="004D52DA" w:rsidRDefault="00A93BE5" w:rsidP="000F039C">
      <w:pPr>
        <w:tabs>
          <w:tab w:val="left" w:pos="7797"/>
        </w:tabs>
        <w:ind w:right="1693"/>
        <w:jc w:val="both"/>
        <w:rPr>
          <w:rFonts w:cs="Arial"/>
          <w:szCs w:val="20"/>
        </w:rPr>
      </w:pPr>
    </w:p>
    <w:p w14:paraId="1B8DDE74" w14:textId="2B9C5124" w:rsidR="00F23766" w:rsidRDefault="00AB1385" w:rsidP="000F039C">
      <w:pPr>
        <w:tabs>
          <w:tab w:val="left" w:pos="7797"/>
        </w:tabs>
        <w:ind w:right="1693"/>
        <w:jc w:val="both"/>
        <w:rPr>
          <w:rFonts w:cs="Arial"/>
          <w:szCs w:val="20"/>
        </w:rPr>
      </w:pPr>
      <w:r>
        <w:rPr>
          <w:rFonts w:cs="Arial"/>
          <w:szCs w:val="20"/>
        </w:rPr>
        <w:t xml:space="preserve">Durante </w:t>
      </w:r>
      <w:r w:rsidR="00314FF1">
        <w:rPr>
          <w:rFonts w:cs="Arial"/>
          <w:szCs w:val="20"/>
        </w:rPr>
        <w:t>el año fiscal 2019/20, el especialista en intralogística TGW registró pedidos con un volumen total de 822 millones de euros, en Europa, los EE. UU. y China. Harald Schröpf, CEO de TGW Logistics Group, señala:</w:t>
      </w:r>
    </w:p>
    <w:p w14:paraId="2C9BCF19" w14:textId="77777777" w:rsidR="00F23766" w:rsidRPr="00741266" w:rsidRDefault="00F23766" w:rsidP="000F039C">
      <w:pPr>
        <w:tabs>
          <w:tab w:val="left" w:pos="7797"/>
        </w:tabs>
        <w:ind w:right="1693"/>
        <w:jc w:val="both"/>
        <w:rPr>
          <w:rFonts w:cs="Arial"/>
          <w:szCs w:val="20"/>
        </w:rPr>
      </w:pPr>
    </w:p>
    <w:p w14:paraId="7064CC71" w14:textId="77777777" w:rsidR="000F039C" w:rsidRPr="0003447B" w:rsidRDefault="00F23766" w:rsidP="00142D57">
      <w:pPr>
        <w:tabs>
          <w:tab w:val="left" w:pos="6237"/>
        </w:tabs>
        <w:ind w:left="709" w:right="2402"/>
        <w:jc w:val="both"/>
        <w:rPr>
          <w:rFonts w:cs="Arial"/>
          <w:i/>
          <w:szCs w:val="20"/>
        </w:rPr>
      </w:pPr>
      <w:r>
        <w:rPr>
          <w:rFonts w:cs="Arial"/>
          <w:i/>
          <w:szCs w:val="20"/>
        </w:rPr>
        <w:t>«Muchas empresas encargaron a TGW la automatización de su intralogística en el último año fiscal: desde Urban Outfitters y Zalando hasta el minorista de moda austriaco Personalshop. Esto nos permitió aumentar nuestra facturación en más de un 16 % en comparación con el ejercicio anterior, hasta los 835,8 millones de euros. Un nuevo récord en la historia de éxito de nuestra empresa».</w:t>
      </w:r>
    </w:p>
    <w:p w14:paraId="66040D80" w14:textId="77777777" w:rsidR="006B47AA" w:rsidRDefault="006B47AA" w:rsidP="00142D57">
      <w:pPr>
        <w:tabs>
          <w:tab w:val="left" w:pos="6237"/>
        </w:tabs>
        <w:ind w:left="709" w:right="2402"/>
        <w:jc w:val="both"/>
        <w:rPr>
          <w:rFonts w:cs="Arial"/>
          <w:i/>
          <w:sz w:val="18"/>
          <w:szCs w:val="18"/>
        </w:rPr>
      </w:pPr>
    </w:p>
    <w:p w14:paraId="4486CA7B" w14:textId="77777777" w:rsidR="006B47AA" w:rsidRPr="006B47AA" w:rsidRDefault="0003447B" w:rsidP="006B47AA">
      <w:pPr>
        <w:tabs>
          <w:tab w:val="left" w:pos="6237"/>
        </w:tabs>
        <w:ind w:right="2402"/>
        <w:jc w:val="both"/>
        <w:rPr>
          <w:rFonts w:cs="Arial"/>
          <w:b/>
          <w:sz w:val="18"/>
          <w:szCs w:val="18"/>
        </w:rPr>
      </w:pPr>
      <w:r>
        <w:rPr>
          <w:rFonts w:cs="Arial"/>
          <w:b/>
          <w:sz w:val="18"/>
          <w:szCs w:val="18"/>
        </w:rPr>
        <w:t>Aumento del EBIT y participación de los empleados</w:t>
      </w:r>
    </w:p>
    <w:p w14:paraId="0212A881" w14:textId="77777777" w:rsidR="0050308A" w:rsidRDefault="0050308A" w:rsidP="00886389">
      <w:pPr>
        <w:tabs>
          <w:tab w:val="left" w:pos="7797"/>
        </w:tabs>
        <w:ind w:right="1693"/>
        <w:jc w:val="both"/>
        <w:rPr>
          <w:rFonts w:cs="Arial"/>
          <w:szCs w:val="20"/>
        </w:rPr>
      </w:pPr>
    </w:p>
    <w:p w14:paraId="20D70BD8" w14:textId="6D1FF0AE" w:rsidR="00836001" w:rsidRDefault="00E14AA9" w:rsidP="00886389">
      <w:pPr>
        <w:tabs>
          <w:tab w:val="left" w:pos="7797"/>
        </w:tabs>
        <w:ind w:right="1693"/>
        <w:jc w:val="both"/>
        <w:rPr>
          <w:rFonts w:cs="Arial"/>
          <w:szCs w:val="20"/>
        </w:rPr>
      </w:pPr>
      <w:r>
        <w:rPr>
          <w:rFonts w:cs="Arial"/>
          <w:szCs w:val="20"/>
        </w:rPr>
        <w:t xml:space="preserve">El EBIT </w:t>
      </w:r>
      <w:r w:rsidR="00AC44D8">
        <w:rPr>
          <w:rFonts w:cs="Arial"/>
          <w:szCs w:val="20"/>
        </w:rPr>
        <w:t>asciende a</w:t>
      </w:r>
      <w:r>
        <w:rPr>
          <w:rFonts w:cs="Arial"/>
          <w:szCs w:val="20"/>
        </w:rPr>
        <w:t xml:space="preserve"> 37,1 millones de euros, </w:t>
      </w:r>
      <w:r w:rsidR="00AC44D8">
        <w:rPr>
          <w:rFonts w:cs="Arial"/>
          <w:szCs w:val="20"/>
        </w:rPr>
        <w:t>luego</w:t>
      </w:r>
      <w:r>
        <w:rPr>
          <w:rFonts w:cs="Arial"/>
          <w:szCs w:val="20"/>
        </w:rPr>
        <w:t xml:space="preserve"> de los 27,9 millones del ejercicio anterior. Esto supone un aumento de más del 33 %. Como empresa de fundación, TGW no puede venderse; la acción empresarial de éxito y la responsabilidad social son inseparables. Dos tercios de los beneficios permanecen en la empresa y se reinvierten: en los empleados, en la infraestructura y en las innovaciones del mañana. Esto convierte </w:t>
      </w:r>
      <w:r>
        <w:rPr>
          <w:rFonts w:cs="Arial"/>
          <w:szCs w:val="20"/>
        </w:rPr>
        <w:lastRenderedPageBreak/>
        <w:t xml:space="preserve">a TGW en un socio comercial estable y un empleador </w:t>
      </w:r>
      <w:r w:rsidR="00AC44D8">
        <w:rPr>
          <w:rFonts w:cs="Arial"/>
          <w:szCs w:val="20"/>
        </w:rPr>
        <w:t>con</w:t>
      </w:r>
      <w:r>
        <w:rPr>
          <w:rFonts w:cs="Arial"/>
          <w:szCs w:val="20"/>
        </w:rPr>
        <w:t>fiable. Además, el diez por ciento de los beneficios se destina a los proyectos sin ánimo de lucro de la fundación Future Wings, que se centra en el desarrollo personal integral de niños y jóvenes.</w:t>
      </w:r>
    </w:p>
    <w:p w14:paraId="74EE3309" w14:textId="77777777" w:rsidR="0003447B" w:rsidRDefault="0003447B" w:rsidP="00886389">
      <w:pPr>
        <w:tabs>
          <w:tab w:val="left" w:pos="7797"/>
        </w:tabs>
        <w:ind w:right="1693"/>
        <w:jc w:val="both"/>
        <w:rPr>
          <w:rFonts w:cs="Arial"/>
          <w:szCs w:val="20"/>
        </w:rPr>
      </w:pPr>
    </w:p>
    <w:p w14:paraId="7128E1BE" w14:textId="597117E3" w:rsidR="00480054" w:rsidRDefault="00BD36E9" w:rsidP="00886389">
      <w:pPr>
        <w:tabs>
          <w:tab w:val="left" w:pos="7797"/>
        </w:tabs>
        <w:ind w:right="1693"/>
        <w:jc w:val="both"/>
        <w:rPr>
          <w:rFonts w:cs="Arial"/>
          <w:szCs w:val="20"/>
        </w:rPr>
      </w:pPr>
      <w:r>
        <w:rPr>
          <w:rFonts w:cs="Arial"/>
          <w:szCs w:val="20"/>
        </w:rPr>
        <w:t xml:space="preserve">TGW reparte por tercera vez a sus empleados la participación dual de los empleados que asciende a 4,1 millones de euros. En aras de la transparencia y honestidad, todos los empleados reciben la misma cantidad </w:t>
      </w:r>
      <w:r w:rsidR="00AC44D8">
        <w:rPr>
          <w:rFonts w:cs="Arial"/>
          <w:szCs w:val="20"/>
        </w:rPr>
        <w:t xml:space="preserve">base: </w:t>
      </w:r>
      <w:r>
        <w:rPr>
          <w:rFonts w:cs="Arial"/>
          <w:szCs w:val="20"/>
        </w:rPr>
        <w:t xml:space="preserve"> independientemente de la función que desempeñan y de si trabajan en Austria, China o en los EE. UU.</w:t>
      </w:r>
    </w:p>
    <w:p w14:paraId="4869316E" w14:textId="77777777" w:rsidR="008E3FA1" w:rsidRDefault="00D57984" w:rsidP="00886389">
      <w:pPr>
        <w:tabs>
          <w:tab w:val="left" w:pos="7797"/>
        </w:tabs>
        <w:ind w:right="1693"/>
        <w:jc w:val="both"/>
        <w:rPr>
          <w:rFonts w:cs="Arial"/>
          <w:szCs w:val="20"/>
        </w:rPr>
      </w:pPr>
      <w:r>
        <w:rPr>
          <w:rFonts w:cs="Arial"/>
          <w:szCs w:val="20"/>
        </w:rPr>
        <w:t xml:space="preserve"> </w:t>
      </w:r>
    </w:p>
    <w:p w14:paraId="069A2919" w14:textId="4E811AC6" w:rsidR="00AE4EDA" w:rsidRDefault="009348E3" w:rsidP="00886389">
      <w:pPr>
        <w:tabs>
          <w:tab w:val="left" w:pos="7797"/>
        </w:tabs>
        <w:ind w:right="1693"/>
        <w:jc w:val="both"/>
        <w:rPr>
          <w:rFonts w:cs="Arial"/>
          <w:b/>
          <w:szCs w:val="20"/>
        </w:rPr>
      </w:pPr>
      <w:r>
        <w:rPr>
          <w:rFonts w:cs="Arial"/>
          <w:b/>
          <w:szCs w:val="20"/>
        </w:rPr>
        <w:t>Resumen de las cifras</w:t>
      </w:r>
    </w:p>
    <w:p w14:paraId="49ECEF27" w14:textId="77777777" w:rsidR="00182632" w:rsidRPr="00B576E9" w:rsidRDefault="00182632" w:rsidP="00886389">
      <w:pPr>
        <w:tabs>
          <w:tab w:val="left" w:pos="7797"/>
        </w:tabs>
        <w:ind w:right="1693"/>
        <w:jc w:val="both"/>
        <w:rPr>
          <w:rFonts w:cs="Arial"/>
          <w:b/>
          <w:szCs w:val="20"/>
          <w:lang w:val="en-AU"/>
        </w:rPr>
      </w:pPr>
    </w:p>
    <w:tbl>
      <w:tblPr>
        <w:tblW w:w="8236" w:type="dxa"/>
        <w:tblCellMar>
          <w:left w:w="0" w:type="dxa"/>
          <w:right w:w="0" w:type="dxa"/>
        </w:tblCellMar>
        <w:tblLook w:val="0420" w:firstRow="1" w:lastRow="0" w:firstColumn="0" w:lastColumn="0" w:noHBand="0" w:noVBand="1"/>
      </w:tblPr>
      <w:tblGrid>
        <w:gridCol w:w="3557"/>
        <w:gridCol w:w="2263"/>
        <w:gridCol w:w="2416"/>
      </w:tblGrid>
      <w:tr w:rsidR="00D92830" w:rsidRPr="00D92830" w14:paraId="7A6CFEC1" w14:textId="77777777" w:rsidTr="00D92830">
        <w:trPr>
          <w:trHeight w:val="802"/>
        </w:trPr>
        <w:tc>
          <w:tcPr>
            <w:tcW w:w="3557"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76717139" w14:textId="6E80A24D" w:rsidR="00D92830" w:rsidRPr="00D92830" w:rsidRDefault="00F05549" w:rsidP="00F05549">
            <w:pPr>
              <w:spacing w:line="240" w:lineRule="auto"/>
              <w:rPr>
                <w:rFonts w:eastAsia="Times New Roman" w:cs="Arial"/>
                <w:sz w:val="36"/>
                <w:szCs w:val="36"/>
              </w:rPr>
            </w:pPr>
            <w:r>
              <w:rPr>
                <w:rFonts w:eastAsia="Times New Roman" w:cs="Arial"/>
                <w:b/>
                <w:bCs/>
                <w:color w:val="FFFFFF" w:themeColor="light1"/>
                <w:kern w:val="24"/>
                <w:sz w:val="30"/>
                <w:szCs w:val="30"/>
              </w:rPr>
              <w:t xml:space="preserve">Año Financiero </w:t>
            </w:r>
          </w:p>
        </w:tc>
        <w:tc>
          <w:tcPr>
            <w:tcW w:w="2263"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79118D0B"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FFFFFF" w:themeColor="light1"/>
                <w:kern w:val="24"/>
                <w:sz w:val="30"/>
                <w:szCs w:val="30"/>
              </w:rPr>
              <w:t>2018/2019</w:t>
            </w:r>
          </w:p>
          <w:p w14:paraId="315CE126" w14:textId="4BE0A46E"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FFFFFF" w:themeColor="light1"/>
                <w:kern w:val="24"/>
                <w:szCs w:val="20"/>
              </w:rPr>
              <w:t>1 Jul</w:t>
            </w:r>
            <w:r w:rsidR="00F05549">
              <w:rPr>
                <w:rFonts w:eastAsia="Times New Roman" w:cs="Arial"/>
                <w:color w:val="FFFFFF" w:themeColor="light1"/>
                <w:kern w:val="24"/>
                <w:szCs w:val="20"/>
              </w:rPr>
              <w:t>io</w:t>
            </w:r>
            <w:r w:rsidRPr="00D92830">
              <w:rPr>
                <w:rFonts w:eastAsia="Times New Roman" w:cs="Arial"/>
                <w:color w:val="FFFFFF" w:themeColor="light1"/>
                <w:kern w:val="24"/>
                <w:szCs w:val="20"/>
              </w:rPr>
              <w:t xml:space="preserve"> 18 – 30 Jun</w:t>
            </w:r>
            <w:r w:rsidR="00F05549">
              <w:rPr>
                <w:rFonts w:eastAsia="Times New Roman" w:cs="Arial"/>
                <w:color w:val="FFFFFF" w:themeColor="light1"/>
                <w:kern w:val="24"/>
                <w:szCs w:val="20"/>
              </w:rPr>
              <w:t>io</w:t>
            </w:r>
            <w:r w:rsidRPr="00D92830">
              <w:rPr>
                <w:rFonts w:eastAsia="Times New Roman" w:cs="Arial"/>
                <w:color w:val="FFFFFF" w:themeColor="light1"/>
                <w:kern w:val="24"/>
                <w:szCs w:val="20"/>
              </w:rPr>
              <w:t xml:space="preserve"> 19</w:t>
            </w:r>
          </w:p>
        </w:tc>
        <w:tc>
          <w:tcPr>
            <w:tcW w:w="2416"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533635E9"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b/>
                <w:bCs/>
                <w:color w:val="FFFFFF" w:themeColor="light1"/>
                <w:kern w:val="24"/>
                <w:sz w:val="30"/>
                <w:szCs w:val="30"/>
              </w:rPr>
              <w:t>2019/2020</w:t>
            </w:r>
          </w:p>
          <w:p w14:paraId="61BF13F1" w14:textId="13B4AAFE"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FFFFFF" w:themeColor="light1"/>
                <w:kern w:val="24"/>
                <w:szCs w:val="20"/>
                <w:lang w:val="da-DK"/>
              </w:rPr>
              <w:t>1 Jul</w:t>
            </w:r>
            <w:r w:rsidR="00F05549">
              <w:rPr>
                <w:rFonts w:eastAsia="Times New Roman" w:cs="Arial"/>
                <w:color w:val="FFFFFF" w:themeColor="light1"/>
                <w:kern w:val="24"/>
                <w:szCs w:val="20"/>
                <w:lang w:val="da-DK"/>
              </w:rPr>
              <w:t>io</w:t>
            </w:r>
            <w:r w:rsidRPr="00D92830">
              <w:rPr>
                <w:rFonts w:eastAsia="Times New Roman" w:cs="Arial"/>
                <w:color w:val="FFFFFF" w:themeColor="light1"/>
                <w:kern w:val="24"/>
                <w:szCs w:val="20"/>
                <w:lang w:val="da-DK"/>
              </w:rPr>
              <w:t xml:space="preserve"> 19 – 30 Jun</w:t>
            </w:r>
            <w:r w:rsidR="00F05549">
              <w:rPr>
                <w:rFonts w:eastAsia="Times New Roman" w:cs="Arial"/>
                <w:color w:val="FFFFFF" w:themeColor="light1"/>
                <w:kern w:val="24"/>
                <w:szCs w:val="20"/>
                <w:lang w:val="da-DK"/>
              </w:rPr>
              <w:t>io</w:t>
            </w:r>
            <w:r w:rsidRPr="00D92830">
              <w:rPr>
                <w:rFonts w:eastAsia="Times New Roman" w:cs="Arial"/>
                <w:color w:val="FFFFFF" w:themeColor="light1"/>
                <w:kern w:val="24"/>
                <w:szCs w:val="20"/>
                <w:lang w:val="da-DK"/>
              </w:rPr>
              <w:t xml:space="preserve"> 20</w:t>
            </w:r>
          </w:p>
        </w:tc>
      </w:tr>
      <w:tr w:rsidR="00D92830" w:rsidRPr="00D92830" w14:paraId="4B285D87" w14:textId="77777777" w:rsidTr="00D92830">
        <w:trPr>
          <w:trHeight w:val="541"/>
        </w:trPr>
        <w:tc>
          <w:tcPr>
            <w:tcW w:w="3557"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2763C22" w14:textId="5B43678B" w:rsidR="00D92830" w:rsidRPr="00D92830" w:rsidRDefault="00F05549" w:rsidP="00F05549">
            <w:pPr>
              <w:spacing w:line="240" w:lineRule="auto"/>
              <w:rPr>
                <w:rFonts w:eastAsia="Times New Roman" w:cs="Arial"/>
                <w:sz w:val="36"/>
                <w:szCs w:val="36"/>
              </w:rPr>
            </w:pPr>
            <w:r>
              <w:rPr>
                <w:rFonts w:eastAsia="Times New Roman" w:cs="Arial"/>
                <w:b/>
                <w:bCs/>
                <w:color w:val="000000" w:themeColor="dark1"/>
                <w:kern w:val="24"/>
                <w:sz w:val="28"/>
                <w:szCs w:val="28"/>
              </w:rPr>
              <w:t xml:space="preserve">Volumen de Ventas </w:t>
            </w:r>
            <w:r w:rsidR="00D92830" w:rsidRPr="00D92830">
              <w:rPr>
                <w:rFonts w:eastAsia="Times New Roman" w:cs="Arial"/>
                <w:b/>
                <w:bCs/>
                <w:color w:val="000000" w:themeColor="dark1"/>
                <w:kern w:val="24"/>
                <w:sz w:val="28"/>
                <w:szCs w:val="28"/>
              </w:rPr>
              <w:t xml:space="preserve"> </w:t>
            </w:r>
            <w:r w:rsidR="00D92830" w:rsidRPr="00D92830">
              <w:rPr>
                <w:rFonts w:eastAsia="Times New Roman" w:cs="Arial"/>
                <w:color w:val="000000" w:themeColor="dark1"/>
                <w:kern w:val="24"/>
                <w:szCs w:val="20"/>
              </w:rPr>
              <w:t>(MEUR)</w:t>
            </w:r>
          </w:p>
        </w:tc>
        <w:tc>
          <w:tcPr>
            <w:tcW w:w="226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CEDAE4E"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000000" w:themeColor="dark1"/>
                <w:kern w:val="24"/>
                <w:sz w:val="28"/>
                <w:szCs w:val="28"/>
              </w:rPr>
              <w:t>719,6</w:t>
            </w:r>
          </w:p>
        </w:tc>
        <w:tc>
          <w:tcPr>
            <w:tcW w:w="241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544CAE4"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b/>
                <w:bCs/>
                <w:color w:val="000000" w:themeColor="dark1"/>
                <w:kern w:val="24"/>
                <w:sz w:val="28"/>
                <w:szCs w:val="28"/>
              </w:rPr>
              <w:t>835,8</w:t>
            </w:r>
          </w:p>
        </w:tc>
      </w:tr>
      <w:tr w:rsidR="00D92830" w:rsidRPr="00D92830" w14:paraId="47D84A49" w14:textId="77777777" w:rsidTr="00D92830">
        <w:trPr>
          <w:trHeight w:val="541"/>
        </w:trPr>
        <w:tc>
          <w:tcPr>
            <w:tcW w:w="35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698CF92" w14:textId="77777777" w:rsidR="00D92830" w:rsidRPr="00D92830" w:rsidRDefault="00D92830" w:rsidP="00D92830">
            <w:pPr>
              <w:spacing w:line="240" w:lineRule="auto"/>
              <w:rPr>
                <w:rFonts w:eastAsia="Times New Roman" w:cs="Arial"/>
                <w:sz w:val="36"/>
                <w:szCs w:val="36"/>
              </w:rPr>
            </w:pPr>
            <w:r w:rsidRPr="00D92830">
              <w:rPr>
                <w:rFonts w:eastAsia="Times New Roman" w:cs="Arial"/>
                <w:b/>
                <w:bCs/>
                <w:color w:val="000000" w:themeColor="dark1"/>
                <w:kern w:val="24"/>
                <w:sz w:val="28"/>
                <w:szCs w:val="28"/>
              </w:rPr>
              <w:t xml:space="preserve">EBIT </w:t>
            </w:r>
            <w:r w:rsidRPr="00D92830">
              <w:rPr>
                <w:rFonts w:eastAsiaTheme="minorEastAsia" w:cs="Arial"/>
                <w:color w:val="000000"/>
                <w:kern w:val="24"/>
                <w:szCs w:val="20"/>
              </w:rPr>
              <w:t>(MEUR)</w:t>
            </w:r>
          </w:p>
        </w:tc>
        <w:tc>
          <w:tcPr>
            <w:tcW w:w="22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F5FF17A"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000000" w:themeColor="dark1"/>
                <w:kern w:val="24"/>
                <w:sz w:val="28"/>
                <w:szCs w:val="28"/>
              </w:rPr>
              <w:t>27,9</w:t>
            </w:r>
          </w:p>
        </w:tc>
        <w:tc>
          <w:tcPr>
            <w:tcW w:w="241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EBF9C33"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b/>
                <w:bCs/>
                <w:color w:val="000000" w:themeColor="dark1"/>
                <w:kern w:val="24"/>
                <w:sz w:val="28"/>
                <w:szCs w:val="28"/>
              </w:rPr>
              <w:t>37,1</w:t>
            </w:r>
          </w:p>
        </w:tc>
      </w:tr>
      <w:tr w:rsidR="00D92830" w:rsidRPr="00D92830" w14:paraId="168D6AD6" w14:textId="77777777" w:rsidTr="00D92830">
        <w:trPr>
          <w:trHeight w:val="541"/>
        </w:trPr>
        <w:tc>
          <w:tcPr>
            <w:tcW w:w="355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FA6B2CD" w14:textId="185CD63E" w:rsidR="00D92830" w:rsidRPr="00D92830" w:rsidRDefault="00F05549" w:rsidP="00F05549">
            <w:pPr>
              <w:spacing w:line="240" w:lineRule="auto"/>
              <w:rPr>
                <w:rFonts w:eastAsia="Times New Roman" w:cs="Arial"/>
                <w:sz w:val="36"/>
                <w:szCs w:val="36"/>
              </w:rPr>
            </w:pPr>
            <w:r>
              <w:rPr>
                <w:rFonts w:eastAsia="Times New Roman" w:cs="Arial"/>
                <w:b/>
                <w:bCs/>
                <w:color w:val="000000" w:themeColor="dark1"/>
                <w:kern w:val="24"/>
                <w:sz w:val="28"/>
                <w:szCs w:val="28"/>
              </w:rPr>
              <w:t xml:space="preserve">Participación de empleados </w:t>
            </w:r>
            <w:r w:rsidR="00D92830" w:rsidRPr="00D92830">
              <w:rPr>
                <w:rFonts w:eastAsia="Times New Roman" w:cs="Arial"/>
                <w:b/>
                <w:bCs/>
                <w:color w:val="000000" w:themeColor="dark1"/>
                <w:kern w:val="24"/>
                <w:sz w:val="28"/>
                <w:szCs w:val="28"/>
              </w:rPr>
              <w:t xml:space="preserve"> </w:t>
            </w:r>
            <w:r w:rsidR="00D92830" w:rsidRPr="00D92830">
              <w:rPr>
                <w:rFonts w:eastAsiaTheme="minorEastAsia" w:cs="Arial"/>
                <w:color w:val="000000"/>
                <w:kern w:val="24"/>
                <w:szCs w:val="20"/>
              </w:rPr>
              <w:t>(MEUR)</w:t>
            </w:r>
          </w:p>
        </w:tc>
        <w:tc>
          <w:tcPr>
            <w:tcW w:w="226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9264BF9"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000000" w:themeColor="dark1"/>
                <w:kern w:val="24"/>
                <w:sz w:val="28"/>
                <w:szCs w:val="28"/>
              </w:rPr>
              <w:t>3,1</w:t>
            </w:r>
          </w:p>
        </w:tc>
        <w:tc>
          <w:tcPr>
            <w:tcW w:w="241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D3D5FB4"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b/>
                <w:bCs/>
                <w:color w:val="000000" w:themeColor="dark1"/>
                <w:kern w:val="24"/>
                <w:sz w:val="28"/>
                <w:szCs w:val="28"/>
              </w:rPr>
              <w:t>4,1</w:t>
            </w:r>
          </w:p>
        </w:tc>
      </w:tr>
      <w:tr w:rsidR="00D92830" w:rsidRPr="00D92830" w14:paraId="7310CC56" w14:textId="77777777" w:rsidTr="00D92830">
        <w:trPr>
          <w:trHeight w:val="541"/>
        </w:trPr>
        <w:tc>
          <w:tcPr>
            <w:tcW w:w="35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A48638A" w14:textId="66783941" w:rsidR="00D92830" w:rsidRPr="00D92830" w:rsidRDefault="00F05549" w:rsidP="00D92830">
            <w:pPr>
              <w:spacing w:line="240" w:lineRule="auto"/>
              <w:rPr>
                <w:rFonts w:eastAsia="Times New Roman" w:cs="Arial"/>
                <w:sz w:val="36"/>
                <w:szCs w:val="36"/>
              </w:rPr>
            </w:pPr>
            <w:r>
              <w:rPr>
                <w:rFonts w:eastAsia="Times New Roman" w:cs="Arial"/>
                <w:b/>
                <w:bCs/>
                <w:color w:val="000000" w:themeColor="dark1"/>
                <w:kern w:val="24"/>
                <w:sz w:val="28"/>
                <w:szCs w:val="28"/>
              </w:rPr>
              <w:t xml:space="preserve">Empleados </w:t>
            </w:r>
          </w:p>
        </w:tc>
        <w:tc>
          <w:tcPr>
            <w:tcW w:w="22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61F9021"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color w:val="000000" w:themeColor="dark1"/>
                <w:kern w:val="24"/>
                <w:sz w:val="28"/>
                <w:szCs w:val="28"/>
              </w:rPr>
              <w:t>3.415</w:t>
            </w:r>
          </w:p>
        </w:tc>
        <w:tc>
          <w:tcPr>
            <w:tcW w:w="241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3E92A84" w14:textId="77777777" w:rsidR="00D92830" w:rsidRPr="00D92830" w:rsidRDefault="00D92830" w:rsidP="00D92830">
            <w:pPr>
              <w:spacing w:line="240" w:lineRule="auto"/>
              <w:jc w:val="center"/>
              <w:rPr>
                <w:rFonts w:eastAsia="Times New Roman" w:cs="Arial"/>
                <w:sz w:val="36"/>
                <w:szCs w:val="36"/>
              </w:rPr>
            </w:pPr>
            <w:r w:rsidRPr="00D92830">
              <w:rPr>
                <w:rFonts w:eastAsia="Times New Roman" w:cs="Arial"/>
                <w:b/>
                <w:bCs/>
                <w:color w:val="000000" w:themeColor="dark1"/>
                <w:kern w:val="24"/>
                <w:sz w:val="28"/>
                <w:szCs w:val="28"/>
              </w:rPr>
              <w:t>3.667</w:t>
            </w:r>
          </w:p>
        </w:tc>
      </w:tr>
    </w:tbl>
    <w:p w14:paraId="63275948" w14:textId="480988B4" w:rsidR="00AE4EDA" w:rsidRPr="00100FED" w:rsidRDefault="00AE4EDA" w:rsidP="00886389">
      <w:pPr>
        <w:tabs>
          <w:tab w:val="left" w:pos="7797"/>
        </w:tabs>
        <w:ind w:right="1693"/>
        <w:jc w:val="both"/>
        <w:rPr>
          <w:rFonts w:cs="Arial"/>
          <w:b/>
          <w:sz w:val="16"/>
          <w:szCs w:val="16"/>
          <w:lang w:val="en-AU"/>
        </w:rPr>
      </w:pPr>
    </w:p>
    <w:p w14:paraId="2180ACEF" w14:textId="7E04A4EF" w:rsidR="0034111E" w:rsidRPr="00DB6F16" w:rsidRDefault="00B4531B" w:rsidP="00B4531B">
      <w:pPr>
        <w:tabs>
          <w:tab w:val="left" w:pos="7797"/>
        </w:tabs>
        <w:ind w:right="1693"/>
        <w:rPr>
          <w:rFonts w:cs="Arial"/>
          <w:b/>
          <w:szCs w:val="20"/>
        </w:rPr>
      </w:pPr>
      <w:r>
        <w:rPr>
          <w:rFonts w:cs="Arial"/>
          <w:b/>
          <w:szCs w:val="20"/>
        </w:rPr>
        <w:br/>
      </w:r>
      <w:r w:rsidR="008921F4">
        <w:rPr>
          <w:rFonts w:cs="Arial"/>
          <w:b/>
          <w:szCs w:val="20"/>
        </w:rPr>
        <w:t>TGW empleará a más de 400 nuevos trabajadores</w:t>
      </w:r>
    </w:p>
    <w:p w14:paraId="60770B3D" w14:textId="77777777" w:rsidR="0034111E" w:rsidRDefault="0034111E" w:rsidP="0034111E">
      <w:pPr>
        <w:tabs>
          <w:tab w:val="left" w:pos="7797"/>
        </w:tabs>
        <w:ind w:right="1693"/>
        <w:jc w:val="both"/>
        <w:rPr>
          <w:rFonts w:cs="Arial"/>
          <w:szCs w:val="20"/>
        </w:rPr>
      </w:pPr>
    </w:p>
    <w:p w14:paraId="51F708C3" w14:textId="71CF8E66" w:rsidR="0034111E" w:rsidRDefault="00F05549" w:rsidP="0034111E">
      <w:pPr>
        <w:tabs>
          <w:tab w:val="left" w:pos="7797"/>
        </w:tabs>
        <w:ind w:right="1693"/>
        <w:jc w:val="both"/>
        <w:rPr>
          <w:rFonts w:cs="Arial"/>
          <w:szCs w:val="20"/>
        </w:rPr>
      </w:pPr>
      <w:r>
        <w:rPr>
          <w:rFonts w:cs="Arial"/>
          <w:szCs w:val="20"/>
        </w:rPr>
        <w:t xml:space="preserve">Durante </w:t>
      </w:r>
      <w:r w:rsidR="008921F4">
        <w:rPr>
          <w:rFonts w:cs="Arial"/>
          <w:szCs w:val="20"/>
        </w:rPr>
        <w:t>el último ejercicio fiscal, TGW creció en unos 250 empleados. El especialista en intralogística continuará con este ritmo de crecimiento en el presente año fiscal y busca principalmente empleados para las áreas de software, control y gestión de proyectos. Harald Schröpf resalta:</w:t>
      </w:r>
    </w:p>
    <w:p w14:paraId="0D18065F" w14:textId="77777777" w:rsidR="009A5205" w:rsidRDefault="009A5205" w:rsidP="0034111E">
      <w:pPr>
        <w:tabs>
          <w:tab w:val="left" w:pos="7797"/>
        </w:tabs>
        <w:ind w:right="1693"/>
        <w:jc w:val="both"/>
        <w:rPr>
          <w:rFonts w:cs="Arial"/>
          <w:szCs w:val="20"/>
        </w:rPr>
      </w:pPr>
    </w:p>
    <w:p w14:paraId="6DB922B5" w14:textId="5EF73FBD" w:rsidR="009A5205" w:rsidRPr="00534318" w:rsidRDefault="009A5205" w:rsidP="002604C6">
      <w:pPr>
        <w:tabs>
          <w:tab w:val="left" w:pos="7088"/>
        </w:tabs>
        <w:ind w:left="709" w:right="2402"/>
        <w:jc w:val="both"/>
        <w:rPr>
          <w:rFonts w:cs="Arial"/>
          <w:i/>
          <w:szCs w:val="20"/>
        </w:rPr>
      </w:pPr>
      <w:r>
        <w:rPr>
          <w:rFonts w:cs="Arial"/>
          <w:i/>
          <w:szCs w:val="20"/>
        </w:rPr>
        <w:t>«Empleados bien formados y motivados son la base de nuestro éxito, sobre todo en un sector tan dinámico e innovador como la intralogística. Por eso, para poder llevar a cabo con éxito nuestra estrategia de crecimiento, en este ejercicio fiscal tenemos previsto aumentar nuestra plantilla en más de 400 empleados y superar así la marca de los 400».</w:t>
      </w:r>
    </w:p>
    <w:p w14:paraId="53F9165E" w14:textId="113AA729" w:rsidR="00182632" w:rsidRDefault="00182632" w:rsidP="00886389">
      <w:pPr>
        <w:tabs>
          <w:tab w:val="left" w:pos="7797"/>
        </w:tabs>
        <w:ind w:right="1693"/>
        <w:jc w:val="both"/>
        <w:rPr>
          <w:rFonts w:cs="Arial"/>
          <w:b/>
          <w:szCs w:val="20"/>
        </w:rPr>
      </w:pPr>
    </w:p>
    <w:p w14:paraId="122B83D3" w14:textId="77777777" w:rsidR="00B4531B" w:rsidRDefault="00B4531B" w:rsidP="00886389">
      <w:pPr>
        <w:tabs>
          <w:tab w:val="left" w:pos="7797"/>
        </w:tabs>
        <w:ind w:right="1693"/>
        <w:jc w:val="both"/>
        <w:rPr>
          <w:rFonts w:cs="Arial"/>
          <w:b/>
          <w:szCs w:val="20"/>
        </w:rPr>
      </w:pPr>
    </w:p>
    <w:p w14:paraId="3584DF42" w14:textId="013D36D2" w:rsidR="00F126D9" w:rsidRDefault="001B7B16" w:rsidP="00886389">
      <w:pPr>
        <w:tabs>
          <w:tab w:val="left" w:pos="7797"/>
        </w:tabs>
        <w:ind w:right="1693"/>
        <w:jc w:val="both"/>
        <w:rPr>
          <w:rFonts w:cs="Arial"/>
          <w:b/>
          <w:szCs w:val="20"/>
        </w:rPr>
      </w:pPr>
      <w:r>
        <w:rPr>
          <w:rFonts w:cs="Arial"/>
          <w:b/>
          <w:szCs w:val="20"/>
        </w:rPr>
        <w:lastRenderedPageBreak/>
        <w:t>Desarrollar el comercio electrónico de forma rentable</w:t>
      </w:r>
    </w:p>
    <w:p w14:paraId="246CD754" w14:textId="77777777" w:rsidR="00514468" w:rsidRDefault="00514468" w:rsidP="00886389">
      <w:pPr>
        <w:tabs>
          <w:tab w:val="left" w:pos="7797"/>
        </w:tabs>
        <w:ind w:right="1693"/>
        <w:jc w:val="both"/>
        <w:rPr>
          <w:rFonts w:cs="Arial"/>
          <w:szCs w:val="20"/>
        </w:rPr>
      </w:pPr>
    </w:p>
    <w:p w14:paraId="27CCA286" w14:textId="77777777" w:rsidR="005835A0" w:rsidRDefault="002E5FC4" w:rsidP="00886389">
      <w:pPr>
        <w:tabs>
          <w:tab w:val="left" w:pos="7797"/>
        </w:tabs>
        <w:ind w:right="1693"/>
        <w:jc w:val="both"/>
        <w:rPr>
          <w:rFonts w:cs="Arial"/>
          <w:szCs w:val="20"/>
        </w:rPr>
      </w:pPr>
      <w:r>
        <w:rPr>
          <w:rFonts w:cs="Arial"/>
          <w:szCs w:val="20"/>
        </w:rPr>
        <w:t xml:space="preserve">El comercio electrónico está registrando altas tasas de crecimiento en casi todos los sectores: desde la moda hasta el comercio general, pasando por la venta de alimentos en línea. TGW ofrece soluciones a medida para estos sectores y ayuda a sus clientes a desarrollar el comercio electrónico de manera que sea rentable. </w:t>
      </w:r>
    </w:p>
    <w:p w14:paraId="5A6F461E" w14:textId="41355319" w:rsidR="00A459AA" w:rsidRDefault="005835A0" w:rsidP="00886389">
      <w:pPr>
        <w:tabs>
          <w:tab w:val="left" w:pos="7797"/>
        </w:tabs>
        <w:ind w:right="1693"/>
        <w:jc w:val="both"/>
        <w:rPr>
          <w:rFonts w:cs="Arial"/>
          <w:szCs w:val="20"/>
        </w:rPr>
      </w:pPr>
      <w:r>
        <w:rPr>
          <w:rFonts w:cs="Arial"/>
          <w:szCs w:val="20"/>
        </w:rPr>
        <w:br/>
        <w:t>El eGrocery</w:t>
      </w:r>
      <w:r w:rsidR="00B4531B">
        <w:rPr>
          <w:rFonts w:cs="Arial"/>
          <w:szCs w:val="20"/>
        </w:rPr>
        <w:t xml:space="preserve"> – </w:t>
      </w:r>
      <w:r>
        <w:rPr>
          <w:rFonts w:cs="Arial"/>
          <w:szCs w:val="20"/>
        </w:rPr>
        <w:t>es decir, la venta de alimentos en línea</w:t>
      </w:r>
      <w:r w:rsidR="00B4531B">
        <w:rPr>
          <w:rFonts w:cs="Arial"/>
          <w:szCs w:val="20"/>
        </w:rPr>
        <w:t xml:space="preserve"> –</w:t>
      </w:r>
      <w:r>
        <w:rPr>
          <w:rFonts w:cs="Arial"/>
          <w:szCs w:val="20"/>
        </w:rPr>
        <w:t xml:space="preserve"> registró este año un aumento de 350 millones de pedidos en Alemania, Francia, Gran Bretaña, Italia y los EE. UU. y un incremento </w:t>
      </w:r>
      <w:r w:rsidR="00CC6BFB">
        <w:rPr>
          <w:rFonts w:cs="Arial"/>
          <w:szCs w:val="20"/>
        </w:rPr>
        <w:t>en</w:t>
      </w:r>
      <w:r>
        <w:rPr>
          <w:rFonts w:cs="Arial"/>
          <w:szCs w:val="20"/>
        </w:rPr>
        <w:t xml:space="preserve"> las ventas de 31 000 millones de euros. Según la consultora Bain &amp; Company, se espera mantener hasta el 45 % de este incremento incluso después del coronavirus. Por consiguiente, el potencial de la venta de alimentos en línea es enorme en todo el mundo.</w:t>
      </w:r>
    </w:p>
    <w:p w14:paraId="458AE325" w14:textId="15E9AAA4" w:rsidR="00A459AA" w:rsidRDefault="00A459AA" w:rsidP="00886389">
      <w:pPr>
        <w:tabs>
          <w:tab w:val="left" w:pos="7797"/>
        </w:tabs>
        <w:ind w:right="1693"/>
        <w:jc w:val="both"/>
        <w:rPr>
          <w:rFonts w:cs="Arial"/>
          <w:szCs w:val="20"/>
        </w:rPr>
      </w:pPr>
    </w:p>
    <w:p w14:paraId="404419EA" w14:textId="42EA4963" w:rsidR="001B7B16" w:rsidRPr="001B7B16" w:rsidRDefault="001B7B16" w:rsidP="00886389">
      <w:pPr>
        <w:tabs>
          <w:tab w:val="left" w:pos="7797"/>
        </w:tabs>
        <w:ind w:right="1693"/>
        <w:jc w:val="both"/>
        <w:rPr>
          <w:rFonts w:cs="Arial"/>
          <w:b/>
          <w:szCs w:val="20"/>
        </w:rPr>
      </w:pPr>
      <w:r>
        <w:rPr>
          <w:rFonts w:cs="Arial"/>
          <w:b/>
          <w:szCs w:val="20"/>
        </w:rPr>
        <w:t>Automatización de la tienda de alimentos en línea Picnic gracias a TGW</w:t>
      </w:r>
    </w:p>
    <w:p w14:paraId="2EDB04F1" w14:textId="77777777" w:rsidR="001B7B16" w:rsidRDefault="001B7B16" w:rsidP="00886389">
      <w:pPr>
        <w:tabs>
          <w:tab w:val="left" w:pos="7797"/>
        </w:tabs>
        <w:ind w:right="1693"/>
        <w:jc w:val="both"/>
        <w:rPr>
          <w:rFonts w:cs="Arial"/>
          <w:szCs w:val="20"/>
        </w:rPr>
      </w:pPr>
    </w:p>
    <w:p w14:paraId="4575B56D" w14:textId="583780FF" w:rsidR="00F126D9" w:rsidRDefault="00AA3365" w:rsidP="00886389">
      <w:pPr>
        <w:tabs>
          <w:tab w:val="left" w:pos="7797"/>
        </w:tabs>
        <w:ind w:right="1693"/>
        <w:jc w:val="both"/>
        <w:rPr>
          <w:rFonts w:cs="Arial"/>
          <w:szCs w:val="20"/>
        </w:rPr>
      </w:pPr>
      <w:r>
        <w:rPr>
          <w:rFonts w:cs="Arial"/>
          <w:szCs w:val="20"/>
        </w:rPr>
        <w:t xml:space="preserve">Hace poco, la tienda de alimentos en línea neerlandesa Picnic encargó la construcción de un centro de distribución altamente automatizado en Utrecht. La empresa fundada en 2015 </w:t>
      </w:r>
      <w:r>
        <w:t>es uno de los actores de más rápido crecimiento en este sector.</w:t>
      </w:r>
      <w:r>
        <w:rPr>
          <w:rFonts w:cs="Arial"/>
          <w:szCs w:val="20"/>
        </w:rPr>
        <w:t xml:space="preserve"> Los clientes pueden hacer sus pedidos cómodamente a través de la aplicación hasta las 22:00 horas, la entrega se realiza al día siguiente con vehículos eléctricos libres de emisiones. Con el nuevo centro de distribución altamente automatizado, Picnic puede gestionar pedidos de alimentos para más de 150 000 familias a la semana, y está sentando las bases para los próximos pasos de crecimiento internacional con la innovadora solución tecnológica de TGW.</w:t>
      </w:r>
    </w:p>
    <w:p w14:paraId="4FBDF741" w14:textId="77777777" w:rsidR="00E71BE3" w:rsidRDefault="00E71BE3" w:rsidP="00886389">
      <w:pPr>
        <w:tabs>
          <w:tab w:val="left" w:pos="7797"/>
        </w:tabs>
        <w:ind w:right="1693"/>
        <w:jc w:val="both"/>
        <w:rPr>
          <w:rFonts w:cs="Arial"/>
          <w:szCs w:val="20"/>
        </w:rPr>
      </w:pPr>
    </w:p>
    <w:p w14:paraId="77F28FA8"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55E28B94"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5CF0F8E9"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4EDABC32"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24D16E8E"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61378276"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356D73B8"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5482EF50"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04F72D89" w14:textId="77777777" w:rsidR="00F1062C" w:rsidRPr="00F16869" w:rsidRDefault="00F1062C" w:rsidP="009A6B05">
      <w:pPr>
        <w:pStyle w:val="StandardWeb"/>
        <w:shd w:val="clear" w:color="auto" w:fill="FFFFFF"/>
        <w:spacing w:before="0" w:beforeAutospacing="0" w:after="0" w:afterAutospacing="0" w:line="360" w:lineRule="auto"/>
        <w:ind w:right="1837"/>
        <w:rPr>
          <w:lang w:val="de-DE"/>
        </w:rPr>
      </w:pPr>
    </w:p>
    <w:p w14:paraId="65339849" w14:textId="3EAD55F4" w:rsidR="001856BA" w:rsidRDefault="001856BA" w:rsidP="009A6B05">
      <w:pPr>
        <w:pStyle w:val="StandardWeb"/>
        <w:shd w:val="clear" w:color="auto" w:fill="FFFFFF"/>
        <w:spacing w:before="0" w:beforeAutospacing="0" w:after="0" w:afterAutospacing="0" w:line="360" w:lineRule="auto"/>
        <w:ind w:right="1837"/>
      </w:pPr>
    </w:p>
    <w:p w14:paraId="16CD535A" w14:textId="7764711F" w:rsidR="00514468" w:rsidRPr="007F4592" w:rsidRDefault="004B5B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443F10">
          <w:rPr>
            <w:rStyle w:val="Hyperlink"/>
            <w:rFonts w:ascii="Arial" w:hAnsi="Arial" w:cs="Arial"/>
            <w:sz w:val="20"/>
            <w:szCs w:val="20"/>
          </w:rPr>
          <w:t>www.tgw-group.com</w:t>
        </w:r>
      </w:hyperlink>
      <w:r w:rsidR="00443F10">
        <w:rPr>
          <w:rFonts w:ascii="Arial" w:hAnsi="Arial" w:cs="Arial"/>
          <w:sz w:val="20"/>
          <w:szCs w:val="20"/>
        </w:rPr>
        <w:br/>
      </w:r>
    </w:p>
    <w:p w14:paraId="21A939B9" w14:textId="77777777" w:rsidR="000F039C" w:rsidRPr="00C20490"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Acerca de TGW Logistics Group:</w:t>
      </w:r>
    </w:p>
    <w:p w14:paraId="74183709" w14:textId="74265B2C"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w:t>
      </w:r>
      <w:r w:rsidR="00BA4CCC">
        <w:rPr>
          <w:rFonts w:cs="Arial"/>
          <w:szCs w:val="20"/>
        </w:rPr>
        <w:t>Durante</w:t>
      </w:r>
      <w:r>
        <w:rPr>
          <w:rFonts w:cs="Arial"/>
          <w:szCs w:val="20"/>
        </w:rPr>
        <w:t xml:space="preserve"> 50 años, el especialista austriaco </w:t>
      </w:r>
      <w:r w:rsidR="00BA4CCC">
        <w:rPr>
          <w:rFonts w:cs="Arial"/>
          <w:szCs w:val="20"/>
        </w:rPr>
        <w:t>ha creado</w:t>
      </w:r>
      <w:r>
        <w:rPr>
          <w:rFonts w:cs="Arial"/>
          <w:szCs w:val="20"/>
        </w:rPr>
        <w:t xml:space="preserve">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60044363" w14:textId="77777777" w:rsidR="000F039C" w:rsidRDefault="000F039C" w:rsidP="000F039C">
      <w:pPr>
        <w:tabs>
          <w:tab w:val="left" w:pos="1697"/>
        </w:tabs>
        <w:spacing w:line="240" w:lineRule="auto"/>
        <w:ind w:right="1837"/>
        <w:rPr>
          <w:rFonts w:cs="Arial"/>
          <w:szCs w:val="20"/>
        </w:rPr>
      </w:pPr>
    </w:p>
    <w:p w14:paraId="1E9A1531" w14:textId="01C21889" w:rsidR="000F039C" w:rsidRDefault="000F039C" w:rsidP="000F039C">
      <w:pPr>
        <w:spacing w:line="240" w:lineRule="auto"/>
        <w:ind w:right="1837"/>
        <w:rPr>
          <w:rFonts w:cs="Arial"/>
          <w:szCs w:val="20"/>
        </w:rPr>
      </w:pPr>
      <w:r>
        <w:rPr>
          <w:rFonts w:cs="Arial"/>
          <w:szCs w:val="20"/>
        </w:rPr>
        <w:t xml:space="preserve">TGW Logistics Group tiene oficinas en Europa, China y EE. UU. y emplea a más de 3.700 personas en todo el mundo. </w:t>
      </w:r>
      <w:r w:rsidR="009736FF">
        <w:rPr>
          <w:rFonts w:cs="Arial"/>
          <w:szCs w:val="20"/>
        </w:rPr>
        <w:t>Durante</w:t>
      </w:r>
      <w:r>
        <w:rPr>
          <w:rFonts w:cs="Arial"/>
          <w:szCs w:val="20"/>
        </w:rPr>
        <w:t xml:space="preserve"> el ejercicio 2019/20, la empresa obtuvo una facturación total de 835,8 millones de euros.</w:t>
      </w:r>
    </w:p>
    <w:p w14:paraId="182BC5AE" w14:textId="77777777" w:rsidR="000F039C" w:rsidRDefault="000F039C" w:rsidP="000F039C">
      <w:pPr>
        <w:spacing w:line="240" w:lineRule="auto"/>
        <w:ind w:right="1837"/>
        <w:rPr>
          <w:rFonts w:cs="Arial"/>
          <w:szCs w:val="20"/>
        </w:rPr>
      </w:pPr>
    </w:p>
    <w:p w14:paraId="1E3245BA" w14:textId="77777777" w:rsidR="000F039C" w:rsidRDefault="000F039C" w:rsidP="000F039C">
      <w:pPr>
        <w:spacing w:line="240" w:lineRule="auto"/>
        <w:ind w:right="1837"/>
        <w:rPr>
          <w:rFonts w:cs="Arial"/>
          <w:szCs w:val="20"/>
        </w:rPr>
      </w:pPr>
    </w:p>
    <w:p w14:paraId="09A9B7C2" w14:textId="77777777" w:rsidR="000F039C" w:rsidRDefault="000F039C" w:rsidP="000F039C">
      <w:pPr>
        <w:spacing w:line="240" w:lineRule="auto"/>
        <w:ind w:right="1837"/>
        <w:rPr>
          <w:rFonts w:cs="Arial"/>
          <w:b/>
          <w:szCs w:val="20"/>
        </w:rPr>
      </w:pPr>
      <w:r>
        <w:rPr>
          <w:rFonts w:cs="Arial"/>
          <w:b/>
          <w:szCs w:val="20"/>
        </w:rPr>
        <w:t>Ilustraciones:</w:t>
      </w:r>
    </w:p>
    <w:p w14:paraId="4EFB3B85"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17273BB1" w14:textId="77777777" w:rsidR="000F039C" w:rsidRDefault="000F039C" w:rsidP="000F039C">
      <w:pPr>
        <w:spacing w:line="240" w:lineRule="auto"/>
        <w:ind w:right="1837"/>
        <w:rPr>
          <w:rFonts w:cs="Arial"/>
          <w:szCs w:val="20"/>
        </w:rPr>
      </w:pPr>
    </w:p>
    <w:p w14:paraId="5729B357" w14:textId="77777777" w:rsidR="000F039C" w:rsidRDefault="000F039C" w:rsidP="000F039C">
      <w:pPr>
        <w:spacing w:line="240" w:lineRule="auto"/>
        <w:ind w:right="1837"/>
        <w:rPr>
          <w:rFonts w:cs="Arial"/>
          <w:szCs w:val="20"/>
        </w:rPr>
      </w:pPr>
    </w:p>
    <w:p w14:paraId="75D1F9BA" w14:textId="77777777" w:rsidR="000F039C" w:rsidRDefault="000F039C" w:rsidP="000F039C">
      <w:pPr>
        <w:spacing w:line="240" w:lineRule="auto"/>
        <w:ind w:right="1837"/>
        <w:rPr>
          <w:rFonts w:cs="Arial"/>
          <w:b/>
          <w:szCs w:val="20"/>
        </w:rPr>
      </w:pPr>
      <w:r>
        <w:rPr>
          <w:rFonts w:cs="Arial"/>
          <w:b/>
          <w:szCs w:val="20"/>
        </w:rPr>
        <w:t>Contacto:</w:t>
      </w:r>
    </w:p>
    <w:p w14:paraId="13664EB5" w14:textId="77777777" w:rsidR="000F039C" w:rsidRDefault="000F039C" w:rsidP="000F039C">
      <w:pPr>
        <w:spacing w:line="240" w:lineRule="auto"/>
        <w:ind w:right="1837"/>
        <w:rPr>
          <w:rFonts w:cs="Arial"/>
          <w:szCs w:val="20"/>
        </w:rPr>
      </w:pPr>
      <w:r>
        <w:rPr>
          <w:rFonts w:cs="Arial"/>
          <w:szCs w:val="20"/>
        </w:rPr>
        <w:t>TGW Logistics Group GmbH</w:t>
      </w:r>
    </w:p>
    <w:p w14:paraId="56E62C3A"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573B88EE" w14:textId="77777777" w:rsidR="000F039C" w:rsidRDefault="000F039C" w:rsidP="000F039C">
      <w:pPr>
        <w:spacing w:line="240" w:lineRule="auto"/>
        <w:ind w:right="1837"/>
        <w:rPr>
          <w:rFonts w:cs="Arial"/>
          <w:szCs w:val="20"/>
        </w:rPr>
      </w:pPr>
      <w:r>
        <w:rPr>
          <w:rFonts w:cs="Arial"/>
          <w:szCs w:val="20"/>
        </w:rPr>
        <w:t>T: +43.(0)50.486-0</w:t>
      </w:r>
    </w:p>
    <w:p w14:paraId="220106D4" w14:textId="77777777" w:rsidR="000F039C" w:rsidRDefault="000F039C" w:rsidP="000F039C">
      <w:pPr>
        <w:spacing w:line="240" w:lineRule="auto"/>
        <w:ind w:right="1837"/>
        <w:rPr>
          <w:rFonts w:cs="Arial"/>
          <w:szCs w:val="20"/>
        </w:rPr>
      </w:pPr>
      <w:r>
        <w:rPr>
          <w:rFonts w:cs="Arial"/>
          <w:szCs w:val="20"/>
        </w:rPr>
        <w:t>F: +43.(0)50.486-31</w:t>
      </w:r>
    </w:p>
    <w:p w14:paraId="1C6FA9DE" w14:textId="77777777" w:rsidR="000F039C" w:rsidRDefault="000F039C" w:rsidP="000F039C">
      <w:pPr>
        <w:spacing w:line="240" w:lineRule="auto"/>
        <w:ind w:right="1837"/>
        <w:rPr>
          <w:rFonts w:cs="Arial"/>
          <w:szCs w:val="20"/>
        </w:rPr>
      </w:pPr>
      <w:r>
        <w:rPr>
          <w:rFonts w:cs="Arial"/>
          <w:szCs w:val="20"/>
        </w:rPr>
        <w:t>Correo electrónico: tgw@tgw-group.com</w:t>
      </w:r>
    </w:p>
    <w:p w14:paraId="02D45BA1" w14:textId="77777777" w:rsidR="000F039C" w:rsidRDefault="000F039C" w:rsidP="000F039C">
      <w:pPr>
        <w:spacing w:line="240" w:lineRule="auto"/>
        <w:ind w:right="1837"/>
        <w:rPr>
          <w:rFonts w:cs="Arial"/>
          <w:szCs w:val="20"/>
        </w:rPr>
      </w:pPr>
    </w:p>
    <w:p w14:paraId="27CBE8E3" w14:textId="77777777" w:rsidR="000F039C" w:rsidRDefault="000F039C" w:rsidP="000F039C">
      <w:pPr>
        <w:spacing w:line="240" w:lineRule="auto"/>
        <w:ind w:right="1837"/>
        <w:rPr>
          <w:rFonts w:cs="Arial"/>
          <w:szCs w:val="20"/>
        </w:rPr>
      </w:pPr>
    </w:p>
    <w:p w14:paraId="54B20530" w14:textId="77777777" w:rsidR="000F039C" w:rsidRDefault="000F039C" w:rsidP="000F039C">
      <w:pPr>
        <w:spacing w:line="240" w:lineRule="auto"/>
        <w:ind w:right="1837"/>
        <w:rPr>
          <w:rFonts w:cs="Arial"/>
          <w:szCs w:val="20"/>
        </w:rPr>
      </w:pPr>
    </w:p>
    <w:p w14:paraId="4C7DE02C" w14:textId="77777777" w:rsidR="000F039C" w:rsidRDefault="000F039C" w:rsidP="000F039C">
      <w:pPr>
        <w:spacing w:line="240" w:lineRule="auto"/>
        <w:ind w:right="1837"/>
        <w:rPr>
          <w:rFonts w:cs="Arial"/>
          <w:szCs w:val="20"/>
        </w:rPr>
      </w:pPr>
    </w:p>
    <w:p w14:paraId="140DDABE" w14:textId="77777777" w:rsidR="000F039C" w:rsidRDefault="000F039C" w:rsidP="000F039C">
      <w:pPr>
        <w:spacing w:line="240" w:lineRule="auto"/>
        <w:ind w:right="701"/>
        <w:rPr>
          <w:rFonts w:cs="Arial"/>
          <w:b/>
          <w:szCs w:val="20"/>
        </w:rPr>
      </w:pPr>
      <w:r>
        <w:rPr>
          <w:rFonts w:cs="Arial"/>
          <w:b/>
          <w:szCs w:val="20"/>
        </w:rPr>
        <w:t>Contacto de prensa:</w:t>
      </w:r>
    </w:p>
    <w:p w14:paraId="064F9412" w14:textId="70B25C33" w:rsidR="00496FFC" w:rsidRPr="004642BC" w:rsidRDefault="00496FFC" w:rsidP="000F039C">
      <w:pPr>
        <w:spacing w:line="240" w:lineRule="auto"/>
        <w:ind w:right="701"/>
        <w:rPr>
          <w:rFonts w:cs="Arial"/>
          <w:b/>
          <w:szCs w:val="20"/>
          <w:lang w:val="en-AU"/>
        </w:rPr>
      </w:pPr>
    </w:p>
    <w:p w14:paraId="35F01D47" w14:textId="77777777" w:rsidR="00496FFC" w:rsidRDefault="00496FFC" w:rsidP="00496FFC">
      <w:pPr>
        <w:spacing w:line="240" w:lineRule="auto"/>
        <w:ind w:right="701"/>
        <w:rPr>
          <w:rFonts w:cs="Arial"/>
          <w:szCs w:val="20"/>
          <w:lang w:val="en-US"/>
        </w:rPr>
      </w:pPr>
      <w:r>
        <w:rPr>
          <w:rFonts w:cs="Arial"/>
          <w:szCs w:val="20"/>
        </w:rPr>
        <w:t>Alexander Tahedl</w:t>
      </w:r>
    </w:p>
    <w:p w14:paraId="57A0031C" w14:textId="77777777" w:rsidR="00496FFC" w:rsidRDefault="00496FFC" w:rsidP="00496FFC">
      <w:pPr>
        <w:spacing w:line="240" w:lineRule="auto"/>
        <w:ind w:right="701"/>
        <w:rPr>
          <w:rFonts w:cs="Arial"/>
          <w:szCs w:val="20"/>
          <w:lang w:val="en-US"/>
        </w:rPr>
      </w:pPr>
      <w:r>
        <w:rPr>
          <w:rFonts w:cs="Arial"/>
          <w:szCs w:val="20"/>
        </w:rPr>
        <w:t>Communications Specialist</w:t>
      </w:r>
    </w:p>
    <w:p w14:paraId="30A42C9A" w14:textId="77777777" w:rsidR="00496FFC" w:rsidRPr="009A6B05" w:rsidRDefault="00496FFC" w:rsidP="00496FFC">
      <w:pPr>
        <w:spacing w:line="240" w:lineRule="auto"/>
        <w:ind w:right="701"/>
        <w:rPr>
          <w:rFonts w:cs="Arial"/>
          <w:szCs w:val="20"/>
          <w:lang w:val="en-US"/>
        </w:rPr>
      </w:pPr>
      <w:r>
        <w:rPr>
          <w:rFonts w:cs="Arial"/>
          <w:szCs w:val="20"/>
        </w:rPr>
        <w:t>T: +43.(0)50.486-2267</w:t>
      </w:r>
    </w:p>
    <w:p w14:paraId="254FEB36" w14:textId="77777777" w:rsidR="00496FFC" w:rsidRDefault="00496FFC" w:rsidP="00496FFC">
      <w:pPr>
        <w:spacing w:line="240" w:lineRule="auto"/>
        <w:ind w:right="701"/>
        <w:rPr>
          <w:rFonts w:cs="Arial"/>
          <w:szCs w:val="20"/>
          <w:lang w:val="en-US"/>
        </w:rPr>
      </w:pPr>
      <w:r>
        <w:rPr>
          <w:rFonts w:cs="Arial"/>
          <w:szCs w:val="20"/>
        </w:rPr>
        <w:t>M: +43.(0)664.88459713</w:t>
      </w:r>
    </w:p>
    <w:p w14:paraId="05FF333D" w14:textId="77777777" w:rsidR="00496FFC" w:rsidRPr="00E76A4D" w:rsidRDefault="00496FFC" w:rsidP="00496FFC">
      <w:pPr>
        <w:spacing w:line="240" w:lineRule="auto"/>
        <w:ind w:right="701"/>
        <w:rPr>
          <w:lang w:val="en-AU"/>
        </w:rPr>
      </w:pPr>
      <w:r>
        <w:rPr>
          <w:rFonts w:cs="Arial"/>
          <w:szCs w:val="20"/>
        </w:rPr>
        <w:t>alexander.tahedl@tgw-group.com</w:t>
      </w:r>
    </w:p>
    <w:p w14:paraId="2A5D5C9D" w14:textId="77777777" w:rsidR="00496FFC" w:rsidRPr="00E76A4D" w:rsidRDefault="00496FFC" w:rsidP="000F039C">
      <w:pPr>
        <w:spacing w:line="240" w:lineRule="auto"/>
        <w:ind w:right="701"/>
        <w:rPr>
          <w:rFonts w:cs="Arial"/>
          <w:b/>
          <w:szCs w:val="20"/>
          <w:lang w:val="en-AU"/>
        </w:rPr>
      </w:pPr>
    </w:p>
    <w:p w14:paraId="5AB6C861" w14:textId="77777777" w:rsidR="00496FFC" w:rsidRPr="00E76A4D" w:rsidRDefault="00496FFC" w:rsidP="000F039C">
      <w:pPr>
        <w:spacing w:line="240" w:lineRule="auto"/>
        <w:ind w:right="701"/>
        <w:rPr>
          <w:rFonts w:cs="Arial"/>
          <w:b/>
          <w:szCs w:val="20"/>
          <w:lang w:val="en-AU"/>
        </w:rPr>
      </w:pPr>
    </w:p>
    <w:p w14:paraId="313206CF"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673BF74F"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028B6FD0" w14:textId="77777777" w:rsidR="000F039C" w:rsidRDefault="000F039C" w:rsidP="000F039C">
      <w:pPr>
        <w:spacing w:line="240" w:lineRule="auto"/>
        <w:ind w:right="701"/>
        <w:rPr>
          <w:rFonts w:cs="Arial"/>
          <w:szCs w:val="20"/>
          <w:lang w:val="en-US"/>
        </w:rPr>
      </w:pPr>
      <w:r>
        <w:rPr>
          <w:rFonts w:cs="Arial"/>
          <w:szCs w:val="20"/>
        </w:rPr>
        <w:t>T: +43.(0)50.486-1382</w:t>
      </w:r>
    </w:p>
    <w:p w14:paraId="3A4D376F" w14:textId="77777777" w:rsidR="000F039C" w:rsidRDefault="00085DE5" w:rsidP="000F039C">
      <w:pPr>
        <w:tabs>
          <w:tab w:val="left" w:pos="3432"/>
        </w:tabs>
        <w:spacing w:line="240" w:lineRule="auto"/>
        <w:ind w:right="701"/>
        <w:rPr>
          <w:rFonts w:cs="Arial"/>
          <w:szCs w:val="20"/>
          <w:lang w:val="en-US"/>
        </w:rPr>
      </w:pPr>
      <w:r>
        <w:rPr>
          <w:rFonts w:cs="Arial"/>
          <w:szCs w:val="20"/>
        </w:rPr>
        <w:t>M: +43.(0)664.8187423</w:t>
      </w:r>
    </w:p>
    <w:p w14:paraId="3F5471FF" w14:textId="77777777" w:rsidR="00496FFC" w:rsidRPr="007737E4" w:rsidRDefault="00085DE5">
      <w:pPr>
        <w:spacing w:line="240" w:lineRule="auto"/>
        <w:ind w:right="701"/>
        <w:rPr>
          <w:rFonts w:cs="Arial"/>
          <w:szCs w:val="20"/>
          <w:lang w:val="en-US"/>
        </w:rPr>
      </w:pPr>
      <w:r>
        <w:rPr>
          <w:rFonts w:cs="Arial"/>
          <w:szCs w:val="20"/>
        </w:rPr>
        <w:t>martin.kirchmayr@tgw-group.com</w:t>
      </w:r>
    </w:p>
    <w:p w14:paraId="25A617DC"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3AD7" w14:textId="77777777" w:rsidR="004B5BE9" w:rsidRDefault="004B5BE9" w:rsidP="00764006">
      <w:pPr>
        <w:spacing w:line="240" w:lineRule="auto"/>
      </w:pPr>
      <w:r>
        <w:separator/>
      </w:r>
    </w:p>
  </w:endnote>
  <w:endnote w:type="continuationSeparator" w:id="0">
    <w:p w14:paraId="0110E377" w14:textId="77777777" w:rsidR="004B5BE9" w:rsidRDefault="004B5BE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73AD425E" w14:textId="77777777" w:rsidTr="00C15D91">
      <w:tc>
        <w:tcPr>
          <w:tcW w:w="6474" w:type="dxa"/>
        </w:tcPr>
        <w:p w14:paraId="756515AC"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1FD666A" w14:textId="77777777" w:rsidR="00A459AA" w:rsidRPr="00252CD7" w:rsidRDefault="00A459AA" w:rsidP="007D0E42">
          <w:pPr>
            <w:pStyle w:val="Fuzeile"/>
            <w:rPr>
              <w:sz w:val="16"/>
            </w:rPr>
          </w:pPr>
        </w:p>
      </w:tc>
      <w:tc>
        <w:tcPr>
          <w:tcW w:w="283" w:type="dxa"/>
          <w:tcBorders>
            <w:left w:val="single" w:sz="12" w:space="0" w:color="C00418" w:themeColor="accent1"/>
          </w:tcBorders>
        </w:tcPr>
        <w:p w14:paraId="314EBEF5" w14:textId="77777777" w:rsidR="00A459AA" w:rsidRPr="00252CD7" w:rsidRDefault="00A459AA" w:rsidP="007D0E42">
          <w:pPr>
            <w:pStyle w:val="Fuzeile"/>
            <w:rPr>
              <w:sz w:val="16"/>
            </w:rPr>
          </w:pPr>
        </w:p>
      </w:tc>
      <w:tc>
        <w:tcPr>
          <w:tcW w:w="2438" w:type="dxa"/>
          <w:vAlign w:val="center"/>
        </w:tcPr>
        <w:p w14:paraId="35009DAA" w14:textId="453F2A6B"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36DA7">
            <w:rPr>
              <w:noProof/>
              <w:sz w:val="16"/>
            </w:rPr>
            <w:t>3</w:t>
          </w:r>
          <w:r>
            <w:fldChar w:fldCharType="end"/>
          </w:r>
          <w:r>
            <w:rPr>
              <w:sz w:val="16"/>
            </w:rPr>
            <w:t xml:space="preserve"> / 4</w:t>
          </w:r>
        </w:p>
      </w:tc>
    </w:tr>
  </w:tbl>
  <w:p w14:paraId="58D81884"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5927" w14:textId="77777777" w:rsidR="004B5BE9" w:rsidRDefault="004B5BE9" w:rsidP="00764006">
      <w:pPr>
        <w:spacing w:line="240" w:lineRule="auto"/>
      </w:pPr>
      <w:r>
        <w:separator/>
      </w:r>
    </w:p>
  </w:footnote>
  <w:footnote w:type="continuationSeparator" w:id="0">
    <w:p w14:paraId="4D244D34" w14:textId="77777777" w:rsidR="004B5BE9" w:rsidRDefault="004B5BE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2472" w14:textId="77777777" w:rsidR="00A459AA" w:rsidRDefault="00A459AA" w:rsidP="00764006">
    <w:pPr>
      <w:pStyle w:val="Kopfzeile"/>
      <w:jc w:val="right"/>
    </w:pPr>
    <w:r>
      <w:br/>
    </w:r>
  </w:p>
  <w:p w14:paraId="0EE9E6A2" w14:textId="77777777" w:rsidR="00A459AA" w:rsidRPr="00C15D91" w:rsidRDefault="00A459AA" w:rsidP="00C00CC7">
    <w:pPr>
      <w:pStyle w:val="Dokumententitel"/>
    </w:pPr>
    <w:r>
      <w:drawing>
        <wp:anchor distT="0" distB="0" distL="114300" distR="114300" simplePos="0" relativeHeight="251658240" behindDoc="0" locked="0" layoutInCell="1" allowOverlap="1" wp14:anchorId="78D8039B" wp14:editId="120F512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3"/>
  </w:num>
  <w:num w:numId="7">
    <w:abstractNumId w:val="13"/>
  </w:num>
  <w:num w:numId="8">
    <w:abstractNumId w:val="10"/>
  </w:num>
  <w:num w:numId="9">
    <w:abstractNumId w:val="18"/>
  </w:num>
  <w:num w:numId="10">
    <w:abstractNumId w:val="1"/>
  </w:num>
  <w:num w:numId="11">
    <w:abstractNumId w:val="6"/>
  </w:num>
  <w:num w:numId="12">
    <w:abstractNumId w:val="15"/>
  </w:num>
  <w:num w:numId="13">
    <w:abstractNumId w:val="16"/>
  </w:num>
  <w:num w:numId="14">
    <w:abstractNumId w:val="20"/>
  </w:num>
  <w:num w:numId="15">
    <w:abstractNumId w:val="22"/>
  </w:num>
  <w:num w:numId="16">
    <w:abstractNumId w:val="4"/>
  </w:num>
  <w:num w:numId="17">
    <w:abstractNumId w:val="19"/>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8BC"/>
    <w:rsid w:val="000048E9"/>
    <w:rsid w:val="00004D39"/>
    <w:rsid w:val="00004F6A"/>
    <w:rsid w:val="000067D6"/>
    <w:rsid w:val="00007176"/>
    <w:rsid w:val="00007CF1"/>
    <w:rsid w:val="00013BF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21F"/>
    <w:rsid w:val="000A7433"/>
    <w:rsid w:val="000B3A42"/>
    <w:rsid w:val="000B3BB3"/>
    <w:rsid w:val="000B58AB"/>
    <w:rsid w:val="000B6520"/>
    <w:rsid w:val="000B6706"/>
    <w:rsid w:val="000B6892"/>
    <w:rsid w:val="000B697D"/>
    <w:rsid w:val="000B6D90"/>
    <w:rsid w:val="000B72D6"/>
    <w:rsid w:val="000B7F5B"/>
    <w:rsid w:val="000C043F"/>
    <w:rsid w:val="000C48AB"/>
    <w:rsid w:val="000D04E9"/>
    <w:rsid w:val="000D055C"/>
    <w:rsid w:val="000D0B64"/>
    <w:rsid w:val="000D0FFE"/>
    <w:rsid w:val="000D3D7D"/>
    <w:rsid w:val="000D445F"/>
    <w:rsid w:val="000D5038"/>
    <w:rsid w:val="000D5631"/>
    <w:rsid w:val="000D570F"/>
    <w:rsid w:val="000D5CF0"/>
    <w:rsid w:val="000D7892"/>
    <w:rsid w:val="000D79F0"/>
    <w:rsid w:val="000E1710"/>
    <w:rsid w:val="000E2B57"/>
    <w:rsid w:val="000E5B4A"/>
    <w:rsid w:val="000E6579"/>
    <w:rsid w:val="000E721B"/>
    <w:rsid w:val="000E742E"/>
    <w:rsid w:val="000E779D"/>
    <w:rsid w:val="000F039C"/>
    <w:rsid w:val="000F2136"/>
    <w:rsid w:val="000F6568"/>
    <w:rsid w:val="000F6786"/>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2BC3"/>
    <w:rsid w:val="00172F83"/>
    <w:rsid w:val="00172FF1"/>
    <w:rsid w:val="00174445"/>
    <w:rsid w:val="00174858"/>
    <w:rsid w:val="00174FA7"/>
    <w:rsid w:val="00177186"/>
    <w:rsid w:val="00177950"/>
    <w:rsid w:val="00177E66"/>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A0355"/>
    <w:rsid w:val="001A0755"/>
    <w:rsid w:val="001A08BF"/>
    <w:rsid w:val="001A143C"/>
    <w:rsid w:val="001A2A7D"/>
    <w:rsid w:val="001A36B2"/>
    <w:rsid w:val="001A3CC9"/>
    <w:rsid w:val="001A4177"/>
    <w:rsid w:val="001A639D"/>
    <w:rsid w:val="001B0377"/>
    <w:rsid w:val="001B1C61"/>
    <w:rsid w:val="001B2714"/>
    <w:rsid w:val="001B32D8"/>
    <w:rsid w:val="001B331B"/>
    <w:rsid w:val="001B3B4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B2A"/>
    <w:rsid w:val="001D3BE6"/>
    <w:rsid w:val="001D3C10"/>
    <w:rsid w:val="001D6C93"/>
    <w:rsid w:val="001D6FB0"/>
    <w:rsid w:val="001E064D"/>
    <w:rsid w:val="001E12D3"/>
    <w:rsid w:val="001E2DC7"/>
    <w:rsid w:val="001E3060"/>
    <w:rsid w:val="001E3416"/>
    <w:rsid w:val="001E4E67"/>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35CF"/>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24A9"/>
    <w:rsid w:val="002A24DB"/>
    <w:rsid w:val="002A47F3"/>
    <w:rsid w:val="002A50BC"/>
    <w:rsid w:val="002A540B"/>
    <w:rsid w:val="002A5A42"/>
    <w:rsid w:val="002A62CC"/>
    <w:rsid w:val="002A6820"/>
    <w:rsid w:val="002A6CF7"/>
    <w:rsid w:val="002A6D6B"/>
    <w:rsid w:val="002B0533"/>
    <w:rsid w:val="002B13F8"/>
    <w:rsid w:val="002B27F9"/>
    <w:rsid w:val="002B3503"/>
    <w:rsid w:val="002B4568"/>
    <w:rsid w:val="002B4848"/>
    <w:rsid w:val="002B52CA"/>
    <w:rsid w:val="002B56A8"/>
    <w:rsid w:val="002B5E97"/>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71B6"/>
    <w:rsid w:val="002F059B"/>
    <w:rsid w:val="002F0A80"/>
    <w:rsid w:val="002F390A"/>
    <w:rsid w:val="002F3C41"/>
    <w:rsid w:val="002F4C86"/>
    <w:rsid w:val="002F4FEE"/>
    <w:rsid w:val="002F748C"/>
    <w:rsid w:val="002F7C97"/>
    <w:rsid w:val="003014F9"/>
    <w:rsid w:val="0030159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396"/>
    <w:rsid w:val="0032405B"/>
    <w:rsid w:val="00324AF6"/>
    <w:rsid w:val="00325194"/>
    <w:rsid w:val="003260FC"/>
    <w:rsid w:val="00330273"/>
    <w:rsid w:val="00331A15"/>
    <w:rsid w:val="00331CE5"/>
    <w:rsid w:val="00331DF2"/>
    <w:rsid w:val="0033228A"/>
    <w:rsid w:val="003324FD"/>
    <w:rsid w:val="00332A95"/>
    <w:rsid w:val="003336F3"/>
    <w:rsid w:val="00334F88"/>
    <w:rsid w:val="00335814"/>
    <w:rsid w:val="0033586A"/>
    <w:rsid w:val="00336419"/>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232F"/>
    <w:rsid w:val="00392F49"/>
    <w:rsid w:val="00393F32"/>
    <w:rsid w:val="003A0407"/>
    <w:rsid w:val="003A0544"/>
    <w:rsid w:val="003A1816"/>
    <w:rsid w:val="003A2448"/>
    <w:rsid w:val="003A28BB"/>
    <w:rsid w:val="003A2AEC"/>
    <w:rsid w:val="003A6EC7"/>
    <w:rsid w:val="003A717A"/>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150B4"/>
    <w:rsid w:val="00415BE0"/>
    <w:rsid w:val="0041692F"/>
    <w:rsid w:val="004173D2"/>
    <w:rsid w:val="00417A01"/>
    <w:rsid w:val="00420460"/>
    <w:rsid w:val="00421702"/>
    <w:rsid w:val="00422A59"/>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E0D"/>
    <w:rsid w:val="00436F24"/>
    <w:rsid w:val="00441043"/>
    <w:rsid w:val="0044195E"/>
    <w:rsid w:val="0044232B"/>
    <w:rsid w:val="00443F10"/>
    <w:rsid w:val="0044421B"/>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80054"/>
    <w:rsid w:val="004811AB"/>
    <w:rsid w:val="004818EE"/>
    <w:rsid w:val="004825B7"/>
    <w:rsid w:val="00483348"/>
    <w:rsid w:val="004835A9"/>
    <w:rsid w:val="00484E73"/>
    <w:rsid w:val="00485326"/>
    <w:rsid w:val="00485975"/>
    <w:rsid w:val="00485D3E"/>
    <w:rsid w:val="00487647"/>
    <w:rsid w:val="00491213"/>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BE9"/>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52DA"/>
    <w:rsid w:val="004D5EC4"/>
    <w:rsid w:val="004D6889"/>
    <w:rsid w:val="004E264D"/>
    <w:rsid w:val="004E371B"/>
    <w:rsid w:val="004E40E5"/>
    <w:rsid w:val="004E4588"/>
    <w:rsid w:val="004E4DC5"/>
    <w:rsid w:val="004E6AFB"/>
    <w:rsid w:val="004E72A9"/>
    <w:rsid w:val="004E7AC3"/>
    <w:rsid w:val="004E7C0D"/>
    <w:rsid w:val="004F1580"/>
    <w:rsid w:val="004F16F2"/>
    <w:rsid w:val="004F27BE"/>
    <w:rsid w:val="004F4838"/>
    <w:rsid w:val="004F4E86"/>
    <w:rsid w:val="004F545F"/>
    <w:rsid w:val="004F57EC"/>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CDC"/>
    <w:rsid w:val="0053149B"/>
    <w:rsid w:val="00534318"/>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3DC2"/>
    <w:rsid w:val="00554CD1"/>
    <w:rsid w:val="0055503D"/>
    <w:rsid w:val="0055542D"/>
    <w:rsid w:val="00556FA2"/>
    <w:rsid w:val="00560882"/>
    <w:rsid w:val="005609F6"/>
    <w:rsid w:val="00561645"/>
    <w:rsid w:val="005627E8"/>
    <w:rsid w:val="005627FC"/>
    <w:rsid w:val="005634F5"/>
    <w:rsid w:val="005655EB"/>
    <w:rsid w:val="00572BDA"/>
    <w:rsid w:val="005735A7"/>
    <w:rsid w:val="00573A73"/>
    <w:rsid w:val="00574B91"/>
    <w:rsid w:val="00574E3C"/>
    <w:rsid w:val="00576B49"/>
    <w:rsid w:val="00577E48"/>
    <w:rsid w:val="00580CF9"/>
    <w:rsid w:val="005820BD"/>
    <w:rsid w:val="00582A98"/>
    <w:rsid w:val="00582DE4"/>
    <w:rsid w:val="0058334F"/>
    <w:rsid w:val="005835A0"/>
    <w:rsid w:val="0058393E"/>
    <w:rsid w:val="00583D84"/>
    <w:rsid w:val="0058474C"/>
    <w:rsid w:val="00584B0A"/>
    <w:rsid w:val="005861E5"/>
    <w:rsid w:val="00586708"/>
    <w:rsid w:val="00586A99"/>
    <w:rsid w:val="00587756"/>
    <w:rsid w:val="00590E98"/>
    <w:rsid w:val="005918D1"/>
    <w:rsid w:val="00592C1B"/>
    <w:rsid w:val="00593028"/>
    <w:rsid w:val="005948F3"/>
    <w:rsid w:val="00594A63"/>
    <w:rsid w:val="0059546F"/>
    <w:rsid w:val="00595F90"/>
    <w:rsid w:val="00597C48"/>
    <w:rsid w:val="005A1CE4"/>
    <w:rsid w:val="005A3199"/>
    <w:rsid w:val="005A3DFB"/>
    <w:rsid w:val="005A4173"/>
    <w:rsid w:val="005A4597"/>
    <w:rsid w:val="005A47C9"/>
    <w:rsid w:val="005A642C"/>
    <w:rsid w:val="005A6B7D"/>
    <w:rsid w:val="005B1FBE"/>
    <w:rsid w:val="005B6D02"/>
    <w:rsid w:val="005C121A"/>
    <w:rsid w:val="005C1F22"/>
    <w:rsid w:val="005C21B3"/>
    <w:rsid w:val="005C3AD9"/>
    <w:rsid w:val="005C3D17"/>
    <w:rsid w:val="005C5233"/>
    <w:rsid w:val="005C6C92"/>
    <w:rsid w:val="005C6CF8"/>
    <w:rsid w:val="005C6F82"/>
    <w:rsid w:val="005C7AC3"/>
    <w:rsid w:val="005D00B5"/>
    <w:rsid w:val="005D0133"/>
    <w:rsid w:val="005D042A"/>
    <w:rsid w:val="005D1C5D"/>
    <w:rsid w:val="005D2F99"/>
    <w:rsid w:val="005D4A90"/>
    <w:rsid w:val="005D4AF0"/>
    <w:rsid w:val="005D625F"/>
    <w:rsid w:val="005D6937"/>
    <w:rsid w:val="005D75C8"/>
    <w:rsid w:val="005E1C72"/>
    <w:rsid w:val="005E2614"/>
    <w:rsid w:val="005E26CA"/>
    <w:rsid w:val="005E2D7B"/>
    <w:rsid w:val="005E32F3"/>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5544"/>
    <w:rsid w:val="00635E54"/>
    <w:rsid w:val="00635EB5"/>
    <w:rsid w:val="00637365"/>
    <w:rsid w:val="0063784E"/>
    <w:rsid w:val="0064026C"/>
    <w:rsid w:val="00640762"/>
    <w:rsid w:val="0064160D"/>
    <w:rsid w:val="0064273E"/>
    <w:rsid w:val="00645281"/>
    <w:rsid w:val="0064588E"/>
    <w:rsid w:val="00645BED"/>
    <w:rsid w:val="00645D8D"/>
    <w:rsid w:val="00647C57"/>
    <w:rsid w:val="00650001"/>
    <w:rsid w:val="00651CE9"/>
    <w:rsid w:val="0065394D"/>
    <w:rsid w:val="00653E6D"/>
    <w:rsid w:val="00655116"/>
    <w:rsid w:val="00656680"/>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F95"/>
    <w:rsid w:val="00690825"/>
    <w:rsid w:val="00691192"/>
    <w:rsid w:val="00691249"/>
    <w:rsid w:val="006923E1"/>
    <w:rsid w:val="0069278D"/>
    <w:rsid w:val="00694E56"/>
    <w:rsid w:val="00694E7F"/>
    <w:rsid w:val="006A020D"/>
    <w:rsid w:val="006A0369"/>
    <w:rsid w:val="006A0DF9"/>
    <w:rsid w:val="006A1418"/>
    <w:rsid w:val="006A266E"/>
    <w:rsid w:val="006A30D1"/>
    <w:rsid w:val="006A3B80"/>
    <w:rsid w:val="006A6ABB"/>
    <w:rsid w:val="006A702C"/>
    <w:rsid w:val="006B0972"/>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D8B"/>
    <w:rsid w:val="006E3FA6"/>
    <w:rsid w:val="006E4B76"/>
    <w:rsid w:val="006E4DF2"/>
    <w:rsid w:val="006E6D14"/>
    <w:rsid w:val="006E7091"/>
    <w:rsid w:val="006E7B1A"/>
    <w:rsid w:val="006E7EA8"/>
    <w:rsid w:val="006F06B9"/>
    <w:rsid w:val="006F1829"/>
    <w:rsid w:val="006F1BEF"/>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4133"/>
    <w:rsid w:val="0074552B"/>
    <w:rsid w:val="0074674C"/>
    <w:rsid w:val="007467C4"/>
    <w:rsid w:val="00747352"/>
    <w:rsid w:val="00747660"/>
    <w:rsid w:val="007502BB"/>
    <w:rsid w:val="007506B6"/>
    <w:rsid w:val="00751008"/>
    <w:rsid w:val="0075117B"/>
    <w:rsid w:val="00751CEF"/>
    <w:rsid w:val="0075207B"/>
    <w:rsid w:val="00752A31"/>
    <w:rsid w:val="00753DF1"/>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919B7"/>
    <w:rsid w:val="00793254"/>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16AA"/>
    <w:rsid w:val="007F2DE1"/>
    <w:rsid w:val="007F3CA0"/>
    <w:rsid w:val="007F4275"/>
    <w:rsid w:val="007F4592"/>
    <w:rsid w:val="007F4673"/>
    <w:rsid w:val="007F66BF"/>
    <w:rsid w:val="007F722E"/>
    <w:rsid w:val="007F76F2"/>
    <w:rsid w:val="00803002"/>
    <w:rsid w:val="008031A8"/>
    <w:rsid w:val="0080350C"/>
    <w:rsid w:val="008047B3"/>
    <w:rsid w:val="00804C59"/>
    <w:rsid w:val="00805337"/>
    <w:rsid w:val="008057A1"/>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9B1"/>
    <w:rsid w:val="00853F0F"/>
    <w:rsid w:val="00854198"/>
    <w:rsid w:val="0085553E"/>
    <w:rsid w:val="008562E6"/>
    <w:rsid w:val="008578D5"/>
    <w:rsid w:val="00857C04"/>
    <w:rsid w:val="0086138B"/>
    <w:rsid w:val="008618D7"/>
    <w:rsid w:val="0086576A"/>
    <w:rsid w:val="00865F37"/>
    <w:rsid w:val="00866BFD"/>
    <w:rsid w:val="00866DE4"/>
    <w:rsid w:val="008672BF"/>
    <w:rsid w:val="008672DF"/>
    <w:rsid w:val="00870661"/>
    <w:rsid w:val="00870E7C"/>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43A6"/>
    <w:rsid w:val="00885347"/>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295D"/>
    <w:rsid w:val="00912F97"/>
    <w:rsid w:val="0091426C"/>
    <w:rsid w:val="00916F22"/>
    <w:rsid w:val="00916F30"/>
    <w:rsid w:val="00922059"/>
    <w:rsid w:val="009257C1"/>
    <w:rsid w:val="00925941"/>
    <w:rsid w:val="0092603A"/>
    <w:rsid w:val="009264E1"/>
    <w:rsid w:val="00927C10"/>
    <w:rsid w:val="009301DD"/>
    <w:rsid w:val="00930E95"/>
    <w:rsid w:val="00931464"/>
    <w:rsid w:val="00933B79"/>
    <w:rsid w:val="00933BDB"/>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6FF"/>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C58"/>
    <w:rsid w:val="00A420C9"/>
    <w:rsid w:val="00A42454"/>
    <w:rsid w:val="00A42ACF"/>
    <w:rsid w:val="00A43A66"/>
    <w:rsid w:val="00A45918"/>
    <w:rsid w:val="00A459AA"/>
    <w:rsid w:val="00A47206"/>
    <w:rsid w:val="00A5065C"/>
    <w:rsid w:val="00A517AB"/>
    <w:rsid w:val="00A51FDE"/>
    <w:rsid w:val="00A52078"/>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EB8"/>
    <w:rsid w:val="00A75895"/>
    <w:rsid w:val="00A75E7C"/>
    <w:rsid w:val="00A76496"/>
    <w:rsid w:val="00A820C2"/>
    <w:rsid w:val="00A82820"/>
    <w:rsid w:val="00A829B0"/>
    <w:rsid w:val="00A82C03"/>
    <w:rsid w:val="00A837B9"/>
    <w:rsid w:val="00A839C0"/>
    <w:rsid w:val="00A85E52"/>
    <w:rsid w:val="00A868FC"/>
    <w:rsid w:val="00A86D60"/>
    <w:rsid w:val="00A91FC2"/>
    <w:rsid w:val="00A92266"/>
    <w:rsid w:val="00A92B4E"/>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1385"/>
    <w:rsid w:val="00AB1961"/>
    <w:rsid w:val="00AB1C8A"/>
    <w:rsid w:val="00AB2157"/>
    <w:rsid w:val="00AB39A3"/>
    <w:rsid w:val="00AB501C"/>
    <w:rsid w:val="00AB58DB"/>
    <w:rsid w:val="00AB6032"/>
    <w:rsid w:val="00AC02D7"/>
    <w:rsid w:val="00AC2AD6"/>
    <w:rsid w:val="00AC330A"/>
    <w:rsid w:val="00AC334F"/>
    <w:rsid w:val="00AC39F5"/>
    <w:rsid w:val="00AC3DC8"/>
    <w:rsid w:val="00AC41CF"/>
    <w:rsid w:val="00AC44D8"/>
    <w:rsid w:val="00AC4EB4"/>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10292"/>
    <w:rsid w:val="00B10F33"/>
    <w:rsid w:val="00B121A2"/>
    <w:rsid w:val="00B1372C"/>
    <w:rsid w:val="00B1378B"/>
    <w:rsid w:val="00B13C69"/>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7BA"/>
    <w:rsid w:val="00B40D67"/>
    <w:rsid w:val="00B40D98"/>
    <w:rsid w:val="00B41A24"/>
    <w:rsid w:val="00B41F77"/>
    <w:rsid w:val="00B421FB"/>
    <w:rsid w:val="00B422A2"/>
    <w:rsid w:val="00B427AE"/>
    <w:rsid w:val="00B42D8F"/>
    <w:rsid w:val="00B42E31"/>
    <w:rsid w:val="00B43674"/>
    <w:rsid w:val="00B44880"/>
    <w:rsid w:val="00B4531B"/>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4CCC"/>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2BFD"/>
    <w:rsid w:val="00BC3839"/>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20097"/>
    <w:rsid w:val="00C202C5"/>
    <w:rsid w:val="00C20490"/>
    <w:rsid w:val="00C21672"/>
    <w:rsid w:val="00C22BFF"/>
    <w:rsid w:val="00C234EA"/>
    <w:rsid w:val="00C23ACE"/>
    <w:rsid w:val="00C23D66"/>
    <w:rsid w:val="00C243BD"/>
    <w:rsid w:val="00C245D5"/>
    <w:rsid w:val="00C25EE9"/>
    <w:rsid w:val="00C263C3"/>
    <w:rsid w:val="00C272DC"/>
    <w:rsid w:val="00C31CEB"/>
    <w:rsid w:val="00C31E2C"/>
    <w:rsid w:val="00C321DD"/>
    <w:rsid w:val="00C33E5F"/>
    <w:rsid w:val="00C34C87"/>
    <w:rsid w:val="00C354EF"/>
    <w:rsid w:val="00C36165"/>
    <w:rsid w:val="00C36DC5"/>
    <w:rsid w:val="00C3722A"/>
    <w:rsid w:val="00C4025D"/>
    <w:rsid w:val="00C40B71"/>
    <w:rsid w:val="00C41386"/>
    <w:rsid w:val="00C423D9"/>
    <w:rsid w:val="00C43146"/>
    <w:rsid w:val="00C43FC7"/>
    <w:rsid w:val="00C44C20"/>
    <w:rsid w:val="00C47105"/>
    <w:rsid w:val="00C47252"/>
    <w:rsid w:val="00C52A37"/>
    <w:rsid w:val="00C536C6"/>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A89"/>
    <w:rsid w:val="00C86AD1"/>
    <w:rsid w:val="00C87839"/>
    <w:rsid w:val="00C905FF"/>
    <w:rsid w:val="00C91467"/>
    <w:rsid w:val="00C914F5"/>
    <w:rsid w:val="00C919D3"/>
    <w:rsid w:val="00C9260A"/>
    <w:rsid w:val="00C93DCC"/>
    <w:rsid w:val="00C947E4"/>
    <w:rsid w:val="00C9530E"/>
    <w:rsid w:val="00C95C0C"/>
    <w:rsid w:val="00CA0978"/>
    <w:rsid w:val="00CA15E3"/>
    <w:rsid w:val="00CA1D9F"/>
    <w:rsid w:val="00CA208A"/>
    <w:rsid w:val="00CA2B28"/>
    <w:rsid w:val="00CA3062"/>
    <w:rsid w:val="00CA31E6"/>
    <w:rsid w:val="00CA5B27"/>
    <w:rsid w:val="00CA69E5"/>
    <w:rsid w:val="00CA7AD1"/>
    <w:rsid w:val="00CB001F"/>
    <w:rsid w:val="00CB1FEB"/>
    <w:rsid w:val="00CB2771"/>
    <w:rsid w:val="00CB2AB1"/>
    <w:rsid w:val="00CB72E5"/>
    <w:rsid w:val="00CB7D8F"/>
    <w:rsid w:val="00CC1C78"/>
    <w:rsid w:val="00CC2FD9"/>
    <w:rsid w:val="00CC35E2"/>
    <w:rsid w:val="00CC3B58"/>
    <w:rsid w:val="00CC3CF1"/>
    <w:rsid w:val="00CC4070"/>
    <w:rsid w:val="00CC467B"/>
    <w:rsid w:val="00CC4DF5"/>
    <w:rsid w:val="00CC6393"/>
    <w:rsid w:val="00CC63F6"/>
    <w:rsid w:val="00CC6BFB"/>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4585"/>
    <w:rsid w:val="00CE4FA6"/>
    <w:rsid w:val="00CE56E1"/>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6DA7"/>
    <w:rsid w:val="00D37C84"/>
    <w:rsid w:val="00D4041B"/>
    <w:rsid w:val="00D40C6D"/>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A42"/>
    <w:rsid w:val="00D64DAA"/>
    <w:rsid w:val="00D64EFD"/>
    <w:rsid w:val="00D64FA4"/>
    <w:rsid w:val="00D65666"/>
    <w:rsid w:val="00D67261"/>
    <w:rsid w:val="00D673E6"/>
    <w:rsid w:val="00D676E0"/>
    <w:rsid w:val="00D70B2F"/>
    <w:rsid w:val="00D70D31"/>
    <w:rsid w:val="00D70DE4"/>
    <w:rsid w:val="00D72658"/>
    <w:rsid w:val="00D744FF"/>
    <w:rsid w:val="00D74F33"/>
    <w:rsid w:val="00D75D73"/>
    <w:rsid w:val="00D7687F"/>
    <w:rsid w:val="00D807C9"/>
    <w:rsid w:val="00D80835"/>
    <w:rsid w:val="00D82FEB"/>
    <w:rsid w:val="00D83D60"/>
    <w:rsid w:val="00D841E6"/>
    <w:rsid w:val="00D84487"/>
    <w:rsid w:val="00D84667"/>
    <w:rsid w:val="00D85261"/>
    <w:rsid w:val="00D86118"/>
    <w:rsid w:val="00D873CB"/>
    <w:rsid w:val="00D879A7"/>
    <w:rsid w:val="00D87EE8"/>
    <w:rsid w:val="00D90DAC"/>
    <w:rsid w:val="00D91BC3"/>
    <w:rsid w:val="00D92830"/>
    <w:rsid w:val="00D92D51"/>
    <w:rsid w:val="00D935E9"/>
    <w:rsid w:val="00D95B75"/>
    <w:rsid w:val="00D96CD7"/>
    <w:rsid w:val="00D97519"/>
    <w:rsid w:val="00DA00AB"/>
    <w:rsid w:val="00DA1B96"/>
    <w:rsid w:val="00DA243F"/>
    <w:rsid w:val="00DA3674"/>
    <w:rsid w:val="00DA3C79"/>
    <w:rsid w:val="00DA4CF4"/>
    <w:rsid w:val="00DA542A"/>
    <w:rsid w:val="00DA5891"/>
    <w:rsid w:val="00DA5B79"/>
    <w:rsid w:val="00DA604A"/>
    <w:rsid w:val="00DA6A90"/>
    <w:rsid w:val="00DA70A8"/>
    <w:rsid w:val="00DA73D2"/>
    <w:rsid w:val="00DA795B"/>
    <w:rsid w:val="00DA7C94"/>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AB1"/>
    <w:rsid w:val="00DD1EC2"/>
    <w:rsid w:val="00DD417D"/>
    <w:rsid w:val="00DD4799"/>
    <w:rsid w:val="00DD5502"/>
    <w:rsid w:val="00DD589D"/>
    <w:rsid w:val="00DD6316"/>
    <w:rsid w:val="00DD6B33"/>
    <w:rsid w:val="00DD6ED8"/>
    <w:rsid w:val="00DE00D7"/>
    <w:rsid w:val="00DE08DC"/>
    <w:rsid w:val="00DE18F3"/>
    <w:rsid w:val="00DE1B16"/>
    <w:rsid w:val="00DE1E5B"/>
    <w:rsid w:val="00DE225D"/>
    <w:rsid w:val="00DE2506"/>
    <w:rsid w:val="00DE31D1"/>
    <w:rsid w:val="00DE4411"/>
    <w:rsid w:val="00DE4D1E"/>
    <w:rsid w:val="00DE52FA"/>
    <w:rsid w:val="00DE7196"/>
    <w:rsid w:val="00DE743D"/>
    <w:rsid w:val="00DE745F"/>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1DA2"/>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4032F"/>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70EF"/>
    <w:rsid w:val="00EA773D"/>
    <w:rsid w:val="00EA7953"/>
    <w:rsid w:val="00EB10D6"/>
    <w:rsid w:val="00EB1C97"/>
    <w:rsid w:val="00EB1F8E"/>
    <w:rsid w:val="00EB2276"/>
    <w:rsid w:val="00EB3670"/>
    <w:rsid w:val="00EB4075"/>
    <w:rsid w:val="00EB467F"/>
    <w:rsid w:val="00EB49E8"/>
    <w:rsid w:val="00EB6C54"/>
    <w:rsid w:val="00EB742E"/>
    <w:rsid w:val="00EC0654"/>
    <w:rsid w:val="00EC43AA"/>
    <w:rsid w:val="00EC4AF0"/>
    <w:rsid w:val="00EC61E1"/>
    <w:rsid w:val="00EC6426"/>
    <w:rsid w:val="00ED14CD"/>
    <w:rsid w:val="00ED291D"/>
    <w:rsid w:val="00ED3142"/>
    <w:rsid w:val="00ED48BB"/>
    <w:rsid w:val="00ED4D8C"/>
    <w:rsid w:val="00EE01B5"/>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5549"/>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74EE"/>
    <w:rsid w:val="00F519F1"/>
    <w:rsid w:val="00F54CA0"/>
    <w:rsid w:val="00F55710"/>
    <w:rsid w:val="00F56184"/>
    <w:rsid w:val="00F567F5"/>
    <w:rsid w:val="00F579E4"/>
    <w:rsid w:val="00F57C04"/>
    <w:rsid w:val="00F607D0"/>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7136"/>
    <w:rsid w:val="00F97D38"/>
    <w:rsid w:val="00FA29E9"/>
    <w:rsid w:val="00FA38D1"/>
    <w:rsid w:val="00FA418C"/>
    <w:rsid w:val="00FA58B7"/>
    <w:rsid w:val="00FA60CB"/>
    <w:rsid w:val="00FA6608"/>
    <w:rsid w:val="00FA7D9F"/>
    <w:rsid w:val="00FB097F"/>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9F27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54819716">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8933989">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1A24-E3E0-4BAE-A5E3-ABA5236C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5640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logra la mayor facturación en la historia de la empresa</dc:title>
  <dc:creator>Wohlfarth Andrea</dc:creator>
  <cp:lastModifiedBy>Weiß Lena</cp:lastModifiedBy>
  <cp:revision>2</cp:revision>
  <cp:lastPrinted>2020-09-07T05:28:00Z</cp:lastPrinted>
  <dcterms:created xsi:type="dcterms:W3CDTF">2021-02-08T07:12:00Z</dcterms:created>
  <dcterms:modified xsi:type="dcterms:W3CDTF">2021-02-08T07:12:00Z</dcterms:modified>
</cp:coreProperties>
</file>