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ED" w:rsidRPr="00C158ED" w:rsidRDefault="00EC7CED" w:rsidP="006C187A">
      <w:pPr>
        <w:rPr>
          <w:b/>
          <w:color w:val="000000" w:themeColor="text1"/>
          <w:sz w:val="28"/>
        </w:rPr>
      </w:pPr>
    </w:p>
    <w:p w:rsidR="00EC7CED" w:rsidRPr="00B944CE" w:rsidRDefault="00CA0B53" w:rsidP="000223B3">
      <w:pPr>
        <w:ind w:right="1693"/>
        <w:rPr>
          <w:b/>
          <w:color w:val="000000" w:themeColor="text1"/>
          <w:sz w:val="28"/>
          <w:lang w:val="fr-FR"/>
        </w:rPr>
      </w:pPr>
      <w:r w:rsidRPr="00B944CE">
        <w:rPr>
          <w:b/>
          <w:color w:val="000000" w:themeColor="text1"/>
          <w:sz w:val="28"/>
          <w:lang w:val="fr-FR"/>
        </w:rPr>
        <w:t>TGW nomme Nathan A. Wolf au poste de vice-président des ventes pour le marché nord-américain</w:t>
      </w:r>
    </w:p>
    <w:p w:rsidR="00CA0B53" w:rsidRPr="00B944CE" w:rsidRDefault="00CA0B53" w:rsidP="000223B3">
      <w:pPr>
        <w:ind w:right="1693"/>
        <w:rPr>
          <w:b/>
          <w:color w:val="000000" w:themeColor="text1"/>
          <w:sz w:val="28"/>
          <w:lang w:val="fr-FR"/>
        </w:rPr>
      </w:pPr>
    </w:p>
    <w:p w:rsidR="00570302" w:rsidRPr="00B944CE" w:rsidRDefault="00570302" w:rsidP="000223B3">
      <w:pPr>
        <w:pStyle w:val="ListParagraph"/>
        <w:numPr>
          <w:ilvl w:val="0"/>
          <w:numId w:val="8"/>
        </w:numPr>
        <w:ind w:right="1693"/>
        <w:rPr>
          <w:b/>
          <w:color w:val="000000" w:themeColor="text1"/>
          <w:sz w:val="24"/>
          <w:szCs w:val="24"/>
          <w:lang w:val="fr-FR"/>
        </w:rPr>
      </w:pPr>
      <w:r w:rsidRPr="00B944CE">
        <w:rPr>
          <w:b/>
          <w:color w:val="000000" w:themeColor="text1"/>
          <w:sz w:val="24"/>
          <w:szCs w:val="24"/>
          <w:lang w:val="fr-FR"/>
        </w:rPr>
        <w:t>Nathan A. Wolf responsable de toutes les activités de vente</w:t>
      </w:r>
    </w:p>
    <w:p w:rsidR="00EC7CED" w:rsidRPr="00B944CE" w:rsidRDefault="00570302" w:rsidP="000223B3">
      <w:pPr>
        <w:pStyle w:val="ListParagraph"/>
        <w:numPr>
          <w:ilvl w:val="0"/>
          <w:numId w:val="8"/>
        </w:numPr>
        <w:ind w:right="1693"/>
        <w:rPr>
          <w:b/>
          <w:color w:val="000000" w:themeColor="text1"/>
          <w:sz w:val="24"/>
          <w:szCs w:val="24"/>
          <w:lang w:val="fr-FR"/>
        </w:rPr>
      </w:pPr>
      <w:r w:rsidRPr="00B944CE">
        <w:rPr>
          <w:b/>
          <w:color w:val="000000" w:themeColor="text1"/>
          <w:sz w:val="24"/>
          <w:szCs w:val="24"/>
          <w:lang w:val="fr-FR"/>
        </w:rPr>
        <w:t xml:space="preserve">Renforcement de la position de TGW </w:t>
      </w:r>
      <w:r w:rsidR="00C36A1D" w:rsidRPr="00B944CE">
        <w:rPr>
          <w:b/>
          <w:color w:val="000000" w:themeColor="text1"/>
          <w:sz w:val="24"/>
          <w:szCs w:val="24"/>
          <w:lang w:val="fr-FR"/>
        </w:rPr>
        <w:t xml:space="preserve">en tant que </w:t>
      </w:r>
      <w:r w:rsidRPr="00B944CE">
        <w:rPr>
          <w:b/>
          <w:color w:val="000000" w:themeColor="text1"/>
          <w:sz w:val="24"/>
          <w:szCs w:val="24"/>
          <w:lang w:val="fr-FR"/>
        </w:rPr>
        <w:t>« </w:t>
      </w:r>
      <w:r w:rsidR="00C36A1D" w:rsidRPr="00B944CE">
        <w:rPr>
          <w:b/>
          <w:color w:val="000000" w:themeColor="text1"/>
          <w:sz w:val="24"/>
          <w:szCs w:val="24"/>
          <w:lang w:val="fr-FR"/>
        </w:rPr>
        <w:t>p</w:t>
      </w:r>
      <w:r w:rsidRPr="00B944CE">
        <w:rPr>
          <w:b/>
          <w:color w:val="000000" w:themeColor="text1"/>
          <w:sz w:val="24"/>
          <w:szCs w:val="24"/>
          <w:lang w:val="fr-FR"/>
        </w:rPr>
        <w:t>artenaire naturel »</w:t>
      </w:r>
    </w:p>
    <w:p w:rsidR="000852FA" w:rsidRPr="00B944CE" w:rsidRDefault="00E95B59" w:rsidP="000223B3">
      <w:pPr>
        <w:pStyle w:val="ListParagraph"/>
        <w:numPr>
          <w:ilvl w:val="0"/>
          <w:numId w:val="8"/>
        </w:numPr>
        <w:ind w:right="1693"/>
        <w:rPr>
          <w:b/>
          <w:color w:val="000000" w:themeColor="text1"/>
          <w:sz w:val="24"/>
          <w:szCs w:val="24"/>
          <w:lang w:val="fr-FR"/>
        </w:rPr>
      </w:pPr>
      <w:r w:rsidRPr="00B944CE">
        <w:rPr>
          <w:b/>
          <w:color w:val="000000" w:themeColor="text1"/>
          <w:sz w:val="24"/>
          <w:szCs w:val="24"/>
          <w:lang w:val="fr-FR"/>
        </w:rPr>
        <w:t xml:space="preserve">Une grande expérience de la gestion et une connaissance approfondie du secteur </w:t>
      </w:r>
    </w:p>
    <w:p w:rsidR="003941A1" w:rsidRPr="00B944CE" w:rsidRDefault="003941A1" w:rsidP="000223B3">
      <w:pPr>
        <w:ind w:right="1693"/>
        <w:rPr>
          <w:b/>
          <w:color w:val="000000" w:themeColor="text1"/>
          <w:sz w:val="22"/>
          <w:szCs w:val="24"/>
          <w:lang w:val="fr-FR"/>
        </w:rPr>
      </w:pPr>
    </w:p>
    <w:p w:rsidR="00D91C2A" w:rsidRPr="00B944CE" w:rsidRDefault="00D91C2A" w:rsidP="000223B3">
      <w:pPr>
        <w:spacing w:line="360" w:lineRule="auto"/>
        <w:ind w:right="1695"/>
        <w:rPr>
          <w:b/>
          <w:color w:val="000000" w:themeColor="text1"/>
          <w:szCs w:val="20"/>
          <w:lang w:val="fr-FR"/>
        </w:rPr>
      </w:pPr>
      <w:r w:rsidRPr="00B944CE">
        <w:rPr>
          <w:b/>
          <w:color w:val="000000" w:themeColor="text1"/>
          <w:szCs w:val="20"/>
          <w:lang w:val="fr-FR"/>
        </w:rPr>
        <w:t xml:space="preserve">(Grand Rapids, MI, </w:t>
      </w:r>
      <w:r w:rsidR="00C36A1D" w:rsidRPr="00B944CE">
        <w:rPr>
          <w:b/>
          <w:color w:val="000000" w:themeColor="text1"/>
          <w:szCs w:val="20"/>
          <w:lang w:val="fr-FR"/>
        </w:rPr>
        <w:t xml:space="preserve">le </w:t>
      </w:r>
      <w:r w:rsidR="00B944CE" w:rsidRPr="00B944CE">
        <w:rPr>
          <w:b/>
          <w:color w:val="000000" w:themeColor="text1"/>
          <w:szCs w:val="20"/>
          <w:lang w:val="fr-FR"/>
        </w:rPr>
        <w:t>20</w:t>
      </w:r>
      <w:r w:rsidRPr="00B944CE">
        <w:rPr>
          <w:b/>
          <w:color w:val="000000" w:themeColor="text1"/>
          <w:szCs w:val="20"/>
          <w:lang w:val="fr-FR"/>
        </w:rPr>
        <w:t xml:space="preserve"> septembre 2021) TGW, intégrateur de systèmes leader des solutions d'entrepôts automatisés, a annoncé aujourd'hui la nomination de Nathan A. Wolf au poste de vice-président des ventes pour le marché nord-américain. À ce titre, il conduira l'équipe responsable des relations clients et des activités de vente, tout en favorisant la croissance continue de l'organisation.</w:t>
      </w:r>
    </w:p>
    <w:p w:rsidR="00D91C2A" w:rsidRPr="00B944CE" w:rsidRDefault="00D91C2A" w:rsidP="000223B3">
      <w:pPr>
        <w:spacing w:line="360" w:lineRule="auto"/>
        <w:ind w:right="1695"/>
        <w:rPr>
          <w:b/>
          <w:color w:val="000000" w:themeColor="text1"/>
          <w:szCs w:val="20"/>
          <w:lang w:val="fr-FR"/>
        </w:rPr>
      </w:pPr>
    </w:p>
    <w:p w:rsidR="00D91C2A" w:rsidRPr="00B944CE" w:rsidRDefault="0080061B" w:rsidP="000223B3">
      <w:pPr>
        <w:spacing w:line="360" w:lineRule="auto"/>
        <w:ind w:right="1695"/>
        <w:rPr>
          <w:color w:val="000000" w:themeColor="text1"/>
          <w:szCs w:val="20"/>
          <w:lang w:val="fr-FR"/>
        </w:rPr>
      </w:pPr>
      <w:r w:rsidRPr="00B944CE">
        <w:rPr>
          <w:i/>
          <w:color w:val="000000" w:themeColor="text1"/>
          <w:szCs w:val="20"/>
          <w:lang w:val="fr-FR"/>
        </w:rPr>
        <w:t>« </w:t>
      </w:r>
      <w:r w:rsidR="00C36A1D" w:rsidRPr="00B944CE">
        <w:rPr>
          <w:i/>
          <w:color w:val="000000" w:themeColor="text1"/>
          <w:szCs w:val="20"/>
          <w:lang w:val="fr-FR"/>
        </w:rPr>
        <w:t>L</w:t>
      </w:r>
      <w:r w:rsidRPr="00B944CE">
        <w:rPr>
          <w:i/>
          <w:color w:val="000000" w:themeColor="text1"/>
          <w:szCs w:val="20"/>
          <w:lang w:val="fr-FR"/>
        </w:rPr>
        <w:t xml:space="preserve">es compétences et </w:t>
      </w:r>
      <w:r w:rsidR="00C36A1D" w:rsidRPr="00B944CE">
        <w:rPr>
          <w:i/>
          <w:color w:val="000000" w:themeColor="text1"/>
          <w:szCs w:val="20"/>
          <w:lang w:val="fr-FR"/>
        </w:rPr>
        <w:t>l</w:t>
      </w:r>
      <w:r w:rsidRPr="00B944CE">
        <w:rPr>
          <w:i/>
          <w:color w:val="000000" w:themeColor="text1"/>
          <w:szCs w:val="20"/>
          <w:lang w:val="fr-FR"/>
        </w:rPr>
        <w:t xml:space="preserve">a connaissance du secteur </w:t>
      </w:r>
      <w:r w:rsidR="00C36A1D" w:rsidRPr="00B944CE">
        <w:rPr>
          <w:i/>
          <w:color w:val="000000" w:themeColor="text1"/>
          <w:szCs w:val="20"/>
          <w:lang w:val="fr-FR"/>
        </w:rPr>
        <w:t xml:space="preserve">de M. Wolf </w:t>
      </w:r>
      <w:r w:rsidRPr="00B944CE">
        <w:rPr>
          <w:i/>
          <w:color w:val="000000" w:themeColor="text1"/>
          <w:szCs w:val="20"/>
          <w:lang w:val="fr-FR"/>
        </w:rPr>
        <w:t>aideront TGW à améliorer encore l'expérience de ses clients et à poursuivre la croissance de l'entreprise. Il conduira l'équipe responsable des activités de vente et je suis impatient de mettre à profit ses connaissances pour faire de TGW le partenaire naturel des acteurs du secteur, »</w:t>
      </w:r>
      <w:r w:rsidRPr="00B944CE">
        <w:rPr>
          <w:color w:val="000000" w:themeColor="text1"/>
          <w:szCs w:val="20"/>
          <w:lang w:val="fr-FR"/>
        </w:rPr>
        <w:t xml:space="preserve"> explique Chad Zollman, Chief Sales </w:t>
      </w:r>
      <w:proofErr w:type="spellStart"/>
      <w:r w:rsidRPr="00B944CE">
        <w:rPr>
          <w:color w:val="000000" w:themeColor="text1"/>
          <w:szCs w:val="20"/>
          <w:lang w:val="fr-FR"/>
        </w:rPr>
        <w:t>Officer</w:t>
      </w:r>
      <w:proofErr w:type="spellEnd"/>
      <w:r w:rsidRPr="00B944CE">
        <w:rPr>
          <w:color w:val="000000" w:themeColor="text1"/>
          <w:szCs w:val="20"/>
          <w:lang w:val="fr-FR"/>
        </w:rPr>
        <w:t xml:space="preserve"> pour TGW </w:t>
      </w:r>
      <w:proofErr w:type="spellStart"/>
      <w:r w:rsidRPr="00B944CE">
        <w:rPr>
          <w:color w:val="000000" w:themeColor="text1"/>
          <w:szCs w:val="20"/>
          <w:lang w:val="fr-FR"/>
        </w:rPr>
        <w:t>North</w:t>
      </w:r>
      <w:proofErr w:type="spellEnd"/>
      <w:r w:rsidRPr="00B944CE">
        <w:rPr>
          <w:color w:val="000000" w:themeColor="text1"/>
          <w:szCs w:val="20"/>
          <w:lang w:val="fr-FR"/>
        </w:rPr>
        <w:t xml:space="preserve"> America.</w:t>
      </w:r>
    </w:p>
    <w:p w:rsidR="001E3254" w:rsidRPr="00B944CE" w:rsidRDefault="001E3254" w:rsidP="000223B3">
      <w:pPr>
        <w:spacing w:line="360" w:lineRule="auto"/>
        <w:ind w:right="1695"/>
        <w:rPr>
          <w:color w:val="000000" w:themeColor="text1"/>
          <w:szCs w:val="20"/>
          <w:lang w:val="fr-FR"/>
        </w:rPr>
      </w:pPr>
    </w:p>
    <w:p w:rsidR="00B51F11" w:rsidRPr="00B944CE" w:rsidRDefault="00D656AB" w:rsidP="000223B3">
      <w:pPr>
        <w:spacing w:line="360" w:lineRule="auto"/>
        <w:ind w:right="1695"/>
        <w:rPr>
          <w:color w:val="000000" w:themeColor="text1"/>
          <w:szCs w:val="20"/>
          <w:lang w:val="fr-FR"/>
        </w:rPr>
      </w:pPr>
      <w:r w:rsidRPr="00B944CE">
        <w:rPr>
          <w:color w:val="000000" w:themeColor="text1"/>
          <w:szCs w:val="20"/>
          <w:lang w:val="fr-FR"/>
        </w:rPr>
        <w:t xml:space="preserve">Nathan A. Wolf, avant de rejoindre TGW, dirigeait une unité commerciale de </w:t>
      </w:r>
      <w:proofErr w:type="spellStart"/>
      <w:r w:rsidRPr="00B944CE">
        <w:rPr>
          <w:color w:val="000000" w:themeColor="text1"/>
          <w:szCs w:val="20"/>
          <w:lang w:val="fr-FR"/>
        </w:rPr>
        <w:t>Plascore</w:t>
      </w:r>
      <w:proofErr w:type="spellEnd"/>
      <w:r w:rsidRPr="00B944CE">
        <w:rPr>
          <w:color w:val="000000" w:themeColor="text1"/>
          <w:szCs w:val="20"/>
          <w:lang w:val="fr-FR"/>
        </w:rPr>
        <w:t xml:space="preserve"> Inc. </w:t>
      </w:r>
      <w:proofErr w:type="spellStart"/>
      <w:r w:rsidRPr="00B944CE">
        <w:rPr>
          <w:color w:val="000000" w:themeColor="text1"/>
          <w:szCs w:val="20"/>
          <w:lang w:val="fr-FR"/>
        </w:rPr>
        <w:t>Zeeland</w:t>
      </w:r>
      <w:proofErr w:type="spellEnd"/>
      <w:r w:rsidRPr="00B944CE">
        <w:rPr>
          <w:color w:val="000000" w:themeColor="text1"/>
          <w:szCs w:val="20"/>
          <w:lang w:val="fr-FR"/>
        </w:rPr>
        <w:t xml:space="preserve">. Auparavant, il avait occupé plusieurs postes de direction chez </w:t>
      </w:r>
      <w:proofErr w:type="spellStart"/>
      <w:r w:rsidRPr="00B944CE">
        <w:rPr>
          <w:color w:val="000000" w:themeColor="text1"/>
          <w:szCs w:val="20"/>
          <w:lang w:val="fr-FR"/>
        </w:rPr>
        <w:t>Dematic</w:t>
      </w:r>
      <w:proofErr w:type="spellEnd"/>
      <w:r w:rsidRPr="00B944CE">
        <w:rPr>
          <w:color w:val="000000" w:themeColor="text1"/>
          <w:szCs w:val="20"/>
          <w:lang w:val="fr-FR"/>
        </w:rPr>
        <w:t xml:space="preserve"> and </w:t>
      </w:r>
      <w:proofErr w:type="spellStart"/>
      <w:r w:rsidRPr="00B944CE">
        <w:rPr>
          <w:color w:val="000000" w:themeColor="text1"/>
          <w:szCs w:val="20"/>
          <w:lang w:val="fr-FR"/>
        </w:rPr>
        <w:t>Amstore</w:t>
      </w:r>
      <w:proofErr w:type="spellEnd"/>
      <w:r w:rsidRPr="00B944CE">
        <w:rPr>
          <w:color w:val="000000" w:themeColor="text1"/>
          <w:szCs w:val="20"/>
          <w:lang w:val="fr-FR"/>
        </w:rPr>
        <w:t xml:space="preserve">. </w:t>
      </w:r>
      <w:r w:rsidR="00C36A1D" w:rsidRPr="00B944CE">
        <w:rPr>
          <w:color w:val="000000" w:themeColor="text1"/>
          <w:szCs w:val="20"/>
          <w:lang w:val="fr-FR"/>
        </w:rPr>
        <w:t xml:space="preserve">Il </w:t>
      </w:r>
      <w:r w:rsidRPr="00B944CE">
        <w:rPr>
          <w:color w:val="000000" w:themeColor="text1"/>
          <w:szCs w:val="20"/>
          <w:lang w:val="fr-FR"/>
        </w:rPr>
        <w:t xml:space="preserve">a étudié à la Grand </w:t>
      </w:r>
      <w:proofErr w:type="spellStart"/>
      <w:r w:rsidRPr="00B944CE">
        <w:rPr>
          <w:color w:val="000000" w:themeColor="text1"/>
          <w:szCs w:val="20"/>
          <w:lang w:val="fr-FR"/>
        </w:rPr>
        <w:t>Valley</w:t>
      </w:r>
      <w:proofErr w:type="spellEnd"/>
      <w:r w:rsidRPr="00B944CE">
        <w:rPr>
          <w:color w:val="000000" w:themeColor="text1"/>
          <w:szCs w:val="20"/>
          <w:lang w:val="fr-FR"/>
        </w:rPr>
        <w:t xml:space="preserve"> State </w:t>
      </w:r>
      <w:proofErr w:type="spellStart"/>
      <w:r w:rsidRPr="00B944CE">
        <w:rPr>
          <w:color w:val="000000" w:themeColor="text1"/>
          <w:szCs w:val="20"/>
          <w:lang w:val="fr-FR"/>
        </w:rPr>
        <w:t>University</w:t>
      </w:r>
      <w:proofErr w:type="spellEnd"/>
      <w:r w:rsidRPr="00B944CE">
        <w:rPr>
          <w:color w:val="000000" w:themeColor="text1"/>
          <w:szCs w:val="20"/>
          <w:lang w:val="fr-FR"/>
        </w:rPr>
        <w:t xml:space="preserve"> et est titulaire d'un Master en Gestion des affaires. </w:t>
      </w:r>
    </w:p>
    <w:p w:rsidR="001B5728" w:rsidRPr="00B944CE" w:rsidRDefault="001B5728" w:rsidP="000223B3">
      <w:pPr>
        <w:ind w:right="1693"/>
        <w:rPr>
          <w:color w:val="000000" w:themeColor="text1"/>
          <w:sz w:val="22"/>
          <w:szCs w:val="24"/>
          <w:lang w:val="fr-FR"/>
        </w:rPr>
      </w:pPr>
    </w:p>
    <w:p w:rsidR="002C3574" w:rsidRPr="00B944CE" w:rsidRDefault="002C3574" w:rsidP="000223B3">
      <w:pPr>
        <w:ind w:right="1693"/>
        <w:rPr>
          <w:color w:val="000000" w:themeColor="text1"/>
          <w:sz w:val="22"/>
          <w:szCs w:val="24"/>
          <w:lang w:val="fr-FR"/>
        </w:rPr>
      </w:pPr>
    </w:p>
    <w:p w:rsidR="00570302" w:rsidRPr="00B944CE" w:rsidRDefault="00570302" w:rsidP="000223B3">
      <w:pPr>
        <w:ind w:right="1693"/>
        <w:rPr>
          <w:color w:val="000000" w:themeColor="text1"/>
          <w:sz w:val="22"/>
          <w:szCs w:val="24"/>
          <w:lang w:val="fr-FR"/>
        </w:rPr>
      </w:pPr>
    </w:p>
    <w:p w:rsidR="00570302" w:rsidRPr="00B944CE" w:rsidRDefault="00570302" w:rsidP="000223B3">
      <w:pPr>
        <w:ind w:right="1693"/>
        <w:rPr>
          <w:color w:val="000000" w:themeColor="text1"/>
          <w:sz w:val="22"/>
          <w:szCs w:val="24"/>
          <w:lang w:val="fr-FR"/>
        </w:rPr>
      </w:pPr>
    </w:p>
    <w:p w:rsidR="00570302" w:rsidRPr="00B944CE" w:rsidRDefault="00570302" w:rsidP="000223B3">
      <w:pPr>
        <w:ind w:right="1268"/>
        <w:rPr>
          <w:color w:val="000000" w:themeColor="text1"/>
          <w:sz w:val="22"/>
          <w:szCs w:val="24"/>
          <w:lang w:val="fr-FR"/>
        </w:rPr>
      </w:pPr>
    </w:p>
    <w:p w:rsidR="000223B3" w:rsidRPr="00B944CE" w:rsidRDefault="000223B3" w:rsidP="000223B3">
      <w:pPr>
        <w:ind w:right="1268"/>
        <w:rPr>
          <w:color w:val="000000" w:themeColor="text1"/>
          <w:sz w:val="22"/>
          <w:szCs w:val="24"/>
          <w:lang w:val="fr-FR"/>
        </w:rPr>
      </w:pPr>
    </w:p>
    <w:p w:rsidR="000223B3" w:rsidRPr="00B944CE" w:rsidRDefault="000223B3" w:rsidP="000223B3">
      <w:pPr>
        <w:ind w:right="1268"/>
        <w:rPr>
          <w:color w:val="000000" w:themeColor="text1"/>
          <w:sz w:val="22"/>
          <w:szCs w:val="24"/>
          <w:lang w:val="fr-FR"/>
        </w:rPr>
      </w:pPr>
    </w:p>
    <w:p w:rsidR="000223B3" w:rsidRPr="00B944CE" w:rsidRDefault="000223B3" w:rsidP="000223B3">
      <w:pPr>
        <w:ind w:right="1268"/>
        <w:rPr>
          <w:color w:val="000000" w:themeColor="text1"/>
          <w:sz w:val="22"/>
          <w:szCs w:val="24"/>
          <w:lang w:val="fr-FR"/>
        </w:rPr>
      </w:pPr>
    </w:p>
    <w:p w:rsidR="000223B3" w:rsidRPr="00B944CE" w:rsidRDefault="000223B3" w:rsidP="000223B3">
      <w:pPr>
        <w:ind w:right="1268"/>
        <w:rPr>
          <w:color w:val="000000" w:themeColor="text1"/>
          <w:sz w:val="22"/>
          <w:szCs w:val="24"/>
          <w:lang w:val="fr-FR"/>
        </w:rPr>
      </w:pPr>
    </w:p>
    <w:p w:rsidR="00570302" w:rsidRPr="00B944CE" w:rsidRDefault="00570302" w:rsidP="000223B3">
      <w:pPr>
        <w:ind w:right="1268"/>
        <w:rPr>
          <w:color w:val="000000" w:themeColor="text1"/>
          <w:sz w:val="22"/>
          <w:szCs w:val="24"/>
          <w:lang w:val="fr-FR"/>
        </w:rPr>
      </w:pPr>
    </w:p>
    <w:p w:rsidR="00665EEE" w:rsidRPr="00B944CE" w:rsidRDefault="00665EEE" w:rsidP="000223B3">
      <w:pPr>
        <w:spacing w:line="360" w:lineRule="auto"/>
        <w:ind w:right="1268"/>
        <w:rPr>
          <w:lang w:val="fr-FR"/>
        </w:rPr>
      </w:pPr>
    </w:p>
    <w:p w:rsidR="002C3574" w:rsidRPr="00B944CE" w:rsidRDefault="00B944CE" w:rsidP="002C3574">
      <w:pPr>
        <w:spacing w:line="360" w:lineRule="auto"/>
        <w:ind w:right="1693"/>
        <w:rPr>
          <w:lang w:val="fr-FR"/>
        </w:rPr>
      </w:pPr>
      <w:hyperlink r:id="rId8" w:history="1">
        <w:r w:rsidR="002D1248" w:rsidRPr="00B944CE">
          <w:rPr>
            <w:rStyle w:val="Hyperlink"/>
            <w:lang w:val="fr-FR"/>
          </w:rPr>
          <w:t>www.tgw-group.com</w:t>
        </w:r>
      </w:hyperlink>
    </w:p>
    <w:p w:rsidR="002C3574" w:rsidRPr="00B944CE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  <w:lang w:val="fr-FR"/>
        </w:rPr>
      </w:pPr>
    </w:p>
    <w:p w:rsidR="002C3574" w:rsidRPr="00B944CE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  <w:lang w:val="fr-FR"/>
        </w:rPr>
      </w:pPr>
      <w:r w:rsidRPr="00B944CE">
        <w:rPr>
          <w:rStyle w:val="Hyperlink"/>
          <w:b/>
          <w:color w:val="auto"/>
          <w:u w:val="none"/>
          <w:lang w:val="fr-FR"/>
        </w:rPr>
        <w:t>À propos de TGW Logistics Group :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B944CE">
        <w:rPr>
          <w:rStyle w:val="Hyperlink"/>
          <w:color w:val="auto"/>
          <w:u w:val="none"/>
          <w:lang w:val="fr-FR"/>
        </w:rPr>
        <w:t xml:space="preserve">TGW Logistics Group est le leader des intégrateurs de systèmes de solutions pour entrepôt automatisé. Fort de plus d'un demi-siècle d'expérience, le spécialiste de l'automatisation conçoit, fabrique, implémente et assure l'entretien de solutions de préparation de commandes de bout en bout pour des marques comme </w:t>
      </w:r>
      <w:proofErr w:type="spellStart"/>
      <w:r w:rsidRPr="00B944CE">
        <w:rPr>
          <w:rStyle w:val="Hyperlink"/>
          <w:color w:val="auto"/>
          <w:u w:val="none"/>
          <w:lang w:val="fr-FR"/>
        </w:rPr>
        <w:t>Urban</w:t>
      </w:r>
      <w:proofErr w:type="spellEnd"/>
      <w:r w:rsidRPr="00B944CE">
        <w:rPr>
          <w:rStyle w:val="Hyperlink"/>
          <w:color w:val="auto"/>
          <w:u w:val="none"/>
          <w:lang w:val="fr-FR"/>
        </w:rPr>
        <w:t xml:space="preserve"> </w:t>
      </w:r>
      <w:proofErr w:type="spellStart"/>
      <w:r w:rsidRPr="00B944CE">
        <w:rPr>
          <w:rStyle w:val="Hyperlink"/>
          <w:color w:val="auto"/>
          <w:u w:val="none"/>
          <w:lang w:val="fr-FR"/>
        </w:rPr>
        <w:t>Outfitters</w:t>
      </w:r>
      <w:proofErr w:type="spellEnd"/>
      <w:r w:rsidRPr="00B944CE">
        <w:rPr>
          <w:rStyle w:val="Hyperlink"/>
          <w:color w:val="auto"/>
          <w:u w:val="none"/>
          <w:lang w:val="fr-FR"/>
        </w:rPr>
        <w:t xml:space="preserve">, Gap ou TVH. 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B944CE">
        <w:rPr>
          <w:rStyle w:val="Hyperlink"/>
          <w:color w:val="auto"/>
          <w:u w:val="none"/>
          <w:lang w:val="fr-FR"/>
        </w:rPr>
        <w:t>TGW Logistics Group et ses filiales en Europe, Chine et aux USA emploient plus de 3 700 collaborateurs dans le monde entier. Au cours de l'exercice 2019/20, la compagnie appartenant à une fondation a enregistré un chiffre d'affaires total de 960 millions de dollars.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</w:p>
    <w:p w:rsidR="002C3574" w:rsidRPr="00B944CE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  <w:lang w:val="fr-FR"/>
        </w:rPr>
      </w:pPr>
      <w:r w:rsidRPr="00B944CE">
        <w:rPr>
          <w:rStyle w:val="Hyperlink"/>
          <w:b/>
          <w:color w:val="auto"/>
          <w:u w:val="none"/>
          <w:lang w:val="fr-FR"/>
        </w:rPr>
        <w:t>Images :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B944CE">
        <w:rPr>
          <w:rStyle w:val="Hyperlink"/>
          <w:color w:val="auto"/>
          <w:u w:val="none"/>
          <w:lang w:val="fr-FR"/>
        </w:rPr>
        <w:t>Reproduction gratuite en faisant référence au TGW Logistics Group GmbH.  Reproduction interdite à des fins promotionnelles.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</w:p>
    <w:p w:rsidR="002C3574" w:rsidRPr="00B944CE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  <w:lang w:val="fr-FR"/>
        </w:rPr>
      </w:pPr>
      <w:r w:rsidRPr="00B944CE">
        <w:rPr>
          <w:rStyle w:val="Hyperlink"/>
          <w:b/>
          <w:color w:val="auto"/>
          <w:u w:val="none"/>
          <w:lang w:val="fr-FR"/>
        </w:rPr>
        <w:t>Contact :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B944CE">
        <w:rPr>
          <w:rStyle w:val="Hyperlink"/>
          <w:color w:val="auto"/>
          <w:u w:val="none"/>
          <w:lang w:val="fr-FR"/>
        </w:rPr>
        <w:t>TGW Systems Inc.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944CE">
        <w:rPr>
          <w:rStyle w:val="Hyperlink"/>
          <w:color w:val="auto"/>
          <w:u w:val="none"/>
          <w:lang w:val="en-US"/>
        </w:rPr>
        <w:t xml:space="preserve">3001 Orchard Vista </w:t>
      </w:r>
      <w:proofErr w:type="spellStart"/>
      <w:r w:rsidRPr="00B944CE">
        <w:rPr>
          <w:rStyle w:val="Hyperlink"/>
          <w:color w:val="auto"/>
          <w:u w:val="none"/>
          <w:lang w:val="en-US"/>
        </w:rPr>
        <w:t>Dr</w:t>
      </w:r>
      <w:proofErr w:type="spellEnd"/>
      <w:r w:rsidRPr="00B944CE">
        <w:rPr>
          <w:rStyle w:val="Hyperlink"/>
          <w:color w:val="auto"/>
          <w:u w:val="none"/>
          <w:lang w:val="en-US"/>
        </w:rPr>
        <w:t xml:space="preserve"> SE STE 300, Grand Rapids, MI 49546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proofErr w:type="gramStart"/>
      <w:r w:rsidRPr="00B944CE">
        <w:rPr>
          <w:rStyle w:val="Hyperlink"/>
          <w:color w:val="auto"/>
          <w:u w:val="none"/>
          <w:lang w:val="en-US"/>
        </w:rPr>
        <w:t>T :</w:t>
      </w:r>
      <w:proofErr w:type="gramEnd"/>
      <w:r w:rsidRPr="00B944CE">
        <w:rPr>
          <w:rStyle w:val="Hyperlink"/>
          <w:color w:val="auto"/>
          <w:u w:val="none"/>
          <w:lang w:val="en-US"/>
        </w:rPr>
        <w:t xml:space="preserve"> 616-970-7163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944CE">
        <w:rPr>
          <w:rStyle w:val="Hyperlink"/>
          <w:color w:val="auto"/>
          <w:u w:val="none"/>
          <w:lang w:val="en-US"/>
        </w:rPr>
        <w:t>tgw@tgw-group.com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2C3574" w:rsidRPr="00B944CE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:rsidR="002C3574" w:rsidRPr="00B944CE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B944CE">
        <w:rPr>
          <w:rStyle w:val="Hyperlink"/>
          <w:b/>
          <w:color w:val="auto"/>
          <w:u w:val="none"/>
          <w:lang w:val="en-US"/>
        </w:rPr>
        <w:t xml:space="preserve">Contact </w:t>
      </w:r>
      <w:proofErr w:type="spellStart"/>
      <w:r w:rsidRPr="00B944CE">
        <w:rPr>
          <w:rStyle w:val="Hyperlink"/>
          <w:b/>
          <w:color w:val="auto"/>
          <w:u w:val="none"/>
          <w:lang w:val="en-US"/>
        </w:rPr>
        <w:t>presse</w:t>
      </w:r>
      <w:proofErr w:type="spellEnd"/>
      <w:r w:rsidRPr="00B944CE">
        <w:rPr>
          <w:rStyle w:val="Hyperlink"/>
          <w:b/>
          <w:color w:val="auto"/>
          <w:u w:val="none"/>
          <w:lang w:val="en-US"/>
        </w:rPr>
        <w:t xml:space="preserve">, TGW North </w:t>
      </w:r>
      <w:proofErr w:type="gramStart"/>
      <w:r w:rsidRPr="00B944CE">
        <w:rPr>
          <w:rStyle w:val="Hyperlink"/>
          <w:b/>
          <w:color w:val="auto"/>
          <w:u w:val="none"/>
          <w:lang w:val="en-US"/>
        </w:rPr>
        <w:t>America :</w:t>
      </w:r>
      <w:proofErr w:type="gramEnd"/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B944CE">
        <w:rPr>
          <w:rStyle w:val="Hyperlink"/>
          <w:color w:val="auto"/>
          <w:u w:val="none"/>
          <w:lang w:val="fr-FR"/>
        </w:rPr>
        <w:t>Lisa Weilharter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B944CE">
        <w:rPr>
          <w:rStyle w:val="Hyperlink"/>
          <w:color w:val="auto"/>
          <w:u w:val="none"/>
          <w:lang w:val="fr-FR"/>
        </w:rPr>
        <w:t>Spécialiste Marketing</w:t>
      </w:r>
    </w:p>
    <w:p w:rsidR="002C3574" w:rsidRPr="00B944CE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B944CE">
        <w:rPr>
          <w:rStyle w:val="Hyperlink"/>
          <w:color w:val="auto"/>
          <w:u w:val="none"/>
          <w:lang w:val="fr-FR"/>
        </w:rPr>
        <w:t>T : 616-970-7163</w:t>
      </w:r>
    </w:p>
    <w:p w:rsidR="006C160E" w:rsidRPr="002C3574" w:rsidRDefault="002C3574" w:rsidP="005B5B26">
      <w:pPr>
        <w:spacing w:line="240" w:lineRule="auto"/>
        <w:ind w:right="1693"/>
        <w:rPr>
          <w:b/>
        </w:rPr>
      </w:pPr>
      <w:r w:rsidRPr="00B944CE">
        <w:rPr>
          <w:rStyle w:val="Hyperlink"/>
          <w:color w:val="auto"/>
          <w:u w:val="none"/>
        </w:rPr>
        <w:t>lisa.weilharter@tgw-group.com</w:t>
      </w:r>
      <w:bookmarkStart w:id="0" w:name="_GoBack"/>
      <w:bookmarkEnd w:id="0"/>
    </w:p>
    <w:sectPr w:rsidR="006C160E" w:rsidRPr="002C3574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9A" w:rsidRDefault="002F609A" w:rsidP="00764006">
      <w:pPr>
        <w:spacing w:line="240" w:lineRule="auto"/>
      </w:pPr>
      <w:r>
        <w:separator/>
      </w:r>
    </w:p>
  </w:endnote>
  <w:endnote w:type="continuationSeparator" w:id="0">
    <w:p w:rsidR="002F609A" w:rsidRDefault="002F609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B944CE">
            <w:rPr>
              <w:noProof/>
              <w:sz w:val="16"/>
              <w:szCs w:val="16"/>
            </w:rPr>
            <w:t>2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B944CE">
            <w:rPr>
              <w:noProof/>
              <w:sz w:val="16"/>
              <w:szCs w:val="16"/>
            </w:rPr>
            <w:t>2</w:t>
          </w:r>
          <w: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9A" w:rsidRDefault="002F609A" w:rsidP="00764006">
      <w:pPr>
        <w:spacing w:line="240" w:lineRule="auto"/>
      </w:pPr>
      <w:r>
        <w:separator/>
      </w:r>
    </w:p>
  </w:footnote>
  <w:footnote w:type="continuationSeparator" w:id="0">
    <w:p w:rsidR="002F609A" w:rsidRDefault="002F609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ED" w:rsidRDefault="00EC7CED" w:rsidP="00EC7CED">
    <w:pPr>
      <w:pStyle w:val="Header"/>
      <w:jc w:val="left"/>
      <w:rPr>
        <w:color w:val="C00418" w:themeColor="accent1"/>
        <w:sz w:val="44"/>
      </w:rPr>
    </w:pPr>
  </w:p>
  <w:p w:rsidR="00585363" w:rsidRDefault="00585363" w:rsidP="00EC7CED">
    <w:pPr>
      <w:pStyle w:val="Header"/>
      <w:jc w:val="lef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632CCAF" wp14:editId="05E3198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C00418" w:themeColor="accent1"/>
        <w:sz w:val="44"/>
      </w:rP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732B72"/>
    <w:multiLevelType w:val="hybridMultilevel"/>
    <w:tmpl w:val="B958D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A6B852DE"/>
    <w:lvl w:ilvl="0" w:tplc="88CA190C">
      <w:start w:val="1"/>
      <w:numFmt w:val="bullet"/>
      <w:pStyle w:val="Listenebene1mitEinzug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147DC6"/>
    <w:multiLevelType w:val="hybridMultilevel"/>
    <w:tmpl w:val="F38A7AEC"/>
    <w:lvl w:ilvl="0" w:tplc="4C0E3AAC">
      <w:start w:val="1"/>
      <w:numFmt w:val="bullet"/>
      <w:pStyle w:val="Listenebene2mitEinzug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D240436"/>
    <w:multiLevelType w:val="hybridMultilevel"/>
    <w:tmpl w:val="B31CC2A0"/>
    <w:lvl w:ilvl="0" w:tplc="F6ACC3FE">
      <w:start w:val="1"/>
      <w:numFmt w:val="bullet"/>
      <w:pStyle w:val="Listenebene3mitEinzug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ED"/>
    <w:rsid w:val="00005F2B"/>
    <w:rsid w:val="00015103"/>
    <w:rsid w:val="00017E6B"/>
    <w:rsid w:val="000223B3"/>
    <w:rsid w:val="00045F47"/>
    <w:rsid w:val="000852FA"/>
    <w:rsid w:val="000B3670"/>
    <w:rsid w:val="000B65C7"/>
    <w:rsid w:val="000C38EE"/>
    <w:rsid w:val="000F7849"/>
    <w:rsid w:val="001124BA"/>
    <w:rsid w:val="001135AB"/>
    <w:rsid w:val="001203B4"/>
    <w:rsid w:val="00151450"/>
    <w:rsid w:val="0016733B"/>
    <w:rsid w:val="00196D5E"/>
    <w:rsid w:val="001A6E46"/>
    <w:rsid w:val="001B06AB"/>
    <w:rsid w:val="001B137A"/>
    <w:rsid w:val="001B2FE0"/>
    <w:rsid w:val="001B5728"/>
    <w:rsid w:val="001C1838"/>
    <w:rsid w:val="001E3254"/>
    <w:rsid w:val="001E4EA5"/>
    <w:rsid w:val="001F2A46"/>
    <w:rsid w:val="001F56DB"/>
    <w:rsid w:val="00205949"/>
    <w:rsid w:val="00211538"/>
    <w:rsid w:val="0026487A"/>
    <w:rsid w:val="0027633B"/>
    <w:rsid w:val="002C053C"/>
    <w:rsid w:val="002C3574"/>
    <w:rsid w:val="002D1248"/>
    <w:rsid w:val="002F609A"/>
    <w:rsid w:val="00353A88"/>
    <w:rsid w:val="00364147"/>
    <w:rsid w:val="00367F43"/>
    <w:rsid w:val="00377F06"/>
    <w:rsid w:val="003941A1"/>
    <w:rsid w:val="003D27F8"/>
    <w:rsid w:val="003E19C4"/>
    <w:rsid w:val="004022C2"/>
    <w:rsid w:val="00427466"/>
    <w:rsid w:val="00456A9F"/>
    <w:rsid w:val="004832B0"/>
    <w:rsid w:val="0050536C"/>
    <w:rsid w:val="005227E5"/>
    <w:rsid w:val="00536FA1"/>
    <w:rsid w:val="00570302"/>
    <w:rsid w:val="00585363"/>
    <w:rsid w:val="005B4CE9"/>
    <w:rsid w:val="005B5B26"/>
    <w:rsid w:val="005B61C9"/>
    <w:rsid w:val="005B7DA6"/>
    <w:rsid w:val="005D71EC"/>
    <w:rsid w:val="005E5D66"/>
    <w:rsid w:val="0064131D"/>
    <w:rsid w:val="00665EEE"/>
    <w:rsid w:val="00676996"/>
    <w:rsid w:val="00677B13"/>
    <w:rsid w:val="006C160E"/>
    <w:rsid w:val="006C187A"/>
    <w:rsid w:val="006D42EC"/>
    <w:rsid w:val="00701DDE"/>
    <w:rsid w:val="00722F26"/>
    <w:rsid w:val="00723042"/>
    <w:rsid w:val="007344D8"/>
    <w:rsid w:val="007502BB"/>
    <w:rsid w:val="00760A2F"/>
    <w:rsid w:val="00764006"/>
    <w:rsid w:val="007B594E"/>
    <w:rsid w:val="007D0E42"/>
    <w:rsid w:val="007F0400"/>
    <w:rsid w:val="0080061B"/>
    <w:rsid w:val="00812A0F"/>
    <w:rsid w:val="00812E4D"/>
    <w:rsid w:val="00821633"/>
    <w:rsid w:val="0082184B"/>
    <w:rsid w:val="00821B99"/>
    <w:rsid w:val="00824706"/>
    <w:rsid w:val="00860E96"/>
    <w:rsid w:val="00896C15"/>
    <w:rsid w:val="008C4309"/>
    <w:rsid w:val="008C5496"/>
    <w:rsid w:val="008C62E5"/>
    <w:rsid w:val="008E06A8"/>
    <w:rsid w:val="008F2C49"/>
    <w:rsid w:val="009078C5"/>
    <w:rsid w:val="009114BB"/>
    <w:rsid w:val="009668E1"/>
    <w:rsid w:val="0098058A"/>
    <w:rsid w:val="009A0524"/>
    <w:rsid w:val="009A5752"/>
    <w:rsid w:val="009C12DD"/>
    <w:rsid w:val="009D1BC4"/>
    <w:rsid w:val="00A2616F"/>
    <w:rsid w:val="00A43E71"/>
    <w:rsid w:val="00A47D56"/>
    <w:rsid w:val="00A510C0"/>
    <w:rsid w:val="00A57538"/>
    <w:rsid w:val="00AB08FB"/>
    <w:rsid w:val="00AB2B3A"/>
    <w:rsid w:val="00AD3796"/>
    <w:rsid w:val="00AF2210"/>
    <w:rsid w:val="00B03B65"/>
    <w:rsid w:val="00B06010"/>
    <w:rsid w:val="00B249DB"/>
    <w:rsid w:val="00B51F11"/>
    <w:rsid w:val="00B529B8"/>
    <w:rsid w:val="00B6590E"/>
    <w:rsid w:val="00B944CE"/>
    <w:rsid w:val="00C158ED"/>
    <w:rsid w:val="00C16447"/>
    <w:rsid w:val="00C22048"/>
    <w:rsid w:val="00C338EE"/>
    <w:rsid w:val="00C36A1D"/>
    <w:rsid w:val="00C424EA"/>
    <w:rsid w:val="00CA0B53"/>
    <w:rsid w:val="00CC6DA6"/>
    <w:rsid w:val="00D656AB"/>
    <w:rsid w:val="00D91C2A"/>
    <w:rsid w:val="00D92EC2"/>
    <w:rsid w:val="00DA7496"/>
    <w:rsid w:val="00DB5FB5"/>
    <w:rsid w:val="00DF270B"/>
    <w:rsid w:val="00DF36AC"/>
    <w:rsid w:val="00DF6D64"/>
    <w:rsid w:val="00E131D0"/>
    <w:rsid w:val="00E21D57"/>
    <w:rsid w:val="00E221B1"/>
    <w:rsid w:val="00E32F45"/>
    <w:rsid w:val="00E37FC2"/>
    <w:rsid w:val="00E52190"/>
    <w:rsid w:val="00E66E08"/>
    <w:rsid w:val="00E95B59"/>
    <w:rsid w:val="00EC7CED"/>
    <w:rsid w:val="00F02A2C"/>
    <w:rsid w:val="00F06DBA"/>
    <w:rsid w:val="00F359AC"/>
    <w:rsid w:val="00F96640"/>
    <w:rsid w:val="00FB0EAC"/>
    <w:rsid w:val="00FD25D7"/>
    <w:rsid w:val="00FF0CAB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E114B3"/>
  <w15:chartTrackingRefBased/>
  <w15:docId w15:val="{DFC53F0F-8CC7-4A6C-8E8F-83F838C9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7A"/>
    <w:pPr>
      <w:spacing w:after="0" w:line="312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TextmitEinzug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TextmitEinzug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TextmitEinzug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TextmitEinzug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mitEinzug">
    <w:name w:val="Text mit Einzug"/>
    <w:basedOn w:val="Normal"/>
    <w:link w:val="TextmitEinzugZchn"/>
    <w:qFormat/>
    <w:rsid w:val="006C187A"/>
    <w:pPr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mit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  <w:ind w:left="851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mitEinzug"/>
    <w:link w:val="TitleChar"/>
    <w:uiPriority w:val="10"/>
    <w:qFormat/>
    <w:rsid w:val="00015103"/>
    <w:pPr>
      <w:spacing w:line="240" w:lineRule="auto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mitEinzug">
    <w:name w:val="Listenebene 1 mit Einzug"/>
    <w:basedOn w:val="ListParagraph"/>
    <w:link w:val="Listenebene1mitEinzugZchn"/>
    <w:qFormat/>
    <w:rsid w:val="00FD25D7"/>
    <w:pPr>
      <w:numPr>
        <w:numId w:val="2"/>
      </w:numPr>
    </w:pPr>
  </w:style>
  <w:style w:type="paragraph" w:customStyle="1" w:styleId="Listenebene2mitEinzug">
    <w:name w:val="Listenebene 2 mit Einzug"/>
    <w:basedOn w:val="Listenebene1mitEinzug"/>
    <w:link w:val="Listenebene2mitEinzug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mitEinzugZchn">
    <w:name w:val="Listenebene 1 mit Einzug Zchn"/>
    <w:basedOn w:val="ListParagraphChar"/>
    <w:link w:val="Listenebene1mitEinzug"/>
    <w:rsid w:val="00FD25D7"/>
    <w:rPr>
      <w:rFonts w:ascii="Arial" w:hAnsi="Arial"/>
      <w:sz w:val="20"/>
    </w:rPr>
  </w:style>
  <w:style w:type="paragraph" w:customStyle="1" w:styleId="Listenebene3mitEinzug">
    <w:name w:val="Listenebene 3 mit Einzug"/>
    <w:basedOn w:val="Listenebene1mitEinzug"/>
    <w:link w:val="Listenebene3mitEinzugZchn"/>
    <w:qFormat/>
    <w:rsid w:val="00DF36AC"/>
    <w:pPr>
      <w:numPr>
        <w:numId w:val="4"/>
      </w:numPr>
    </w:pPr>
  </w:style>
  <w:style w:type="character" w:customStyle="1" w:styleId="Listenebene2mitEinzugZchn">
    <w:name w:val="Listenebene 2 mit Einzug Zchn"/>
    <w:basedOn w:val="Listenebene1mitEinzugZchn"/>
    <w:link w:val="Listenebene2mitEinzug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mitEinzugZchn">
    <w:name w:val="Listenebene 3 mit Einzug Zchn"/>
    <w:basedOn w:val="Listenebene1mitEinzugZchn"/>
    <w:link w:val="Listenebene3mitEinzug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mitEinzug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mitEinzugZchn">
    <w:name w:val="Text mit Einzug Zchn"/>
    <w:basedOn w:val="DefaultParagraphFont"/>
    <w:link w:val="TextmitEinzug"/>
    <w:rsid w:val="006C187A"/>
    <w:rPr>
      <w:rFonts w:ascii="Arial" w:hAnsi="Arial"/>
      <w:sz w:val="20"/>
    </w:rPr>
  </w:style>
  <w:style w:type="character" w:customStyle="1" w:styleId="HighlightsZchn">
    <w:name w:val="Highlights Zchn"/>
    <w:basedOn w:val="Listenebene3mitEinzug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mit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mit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mit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mit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Listenebene1">
    <w:name w:val="Listenebene 1"/>
    <w:basedOn w:val="Listenebene1mitEinzug"/>
    <w:qFormat/>
    <w:rsid w:val="006C187A"/>
    <w:pPr>
      <w:ind w:left="357" w:hanging="357"/>
    </w:pPr>
  </w:style>
  <w:style w:type="paragraph" w:customStyle="1" w:styleId="Listenebene2">
    <w:name w:val="Listenebene 2"/>
    <w:basedOn w:val="Listenebene2mitEinzug"/>
    <w:qFormat/>
    <w:rsid w:val="006C187A"/>
    <w:pPr>
      <w:ind w:left="714" w:hanging="357"/>
    </w:pPr>
  </w:style>
  <w:style w:type="paragraph" w:customStyle="1" w:styleId="Listenebene3">
    <w:name w:val="Listenebene 3"/>
    <w:basedOn w:val="Listenebene3mitEinzug"/>
    <w:qFormat/>
    <w:rsid w:val="006C187A"/>
    <w:pPr>
      <w:ind w:left="107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C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6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60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60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60E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C338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l\AppData\Roaming\microsoft\templates\Document%20TGW%20Logistics%20Group%20(Word).dotx" TargetMode="External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8531-A6A5-459F-9894-2A9B3085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TGW Logistics Group (Word).dotx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nomme Nathan A. Wolf au poste de vice-président des ventes pour le marché nord-américain</dc:title>
  <dc:subject/>
  <dc:creator>Weilharter Lisa</dc:creator>
  <cp:keywords>TGW nomme Nathan A. Wolf au poste de vice-président des ventes pour le marché nord-américain</cp:keywords>
  <dc:description/>
  <cp:lastModifiedBy>Weilharter Lisa</cp:lastModifiedBy>
  <cp:revision>6</cp:revision>
  <cp:lastPrinted>2015-06-02T07:14:00Z</cp:lastPrinted>
  <dcterms:created xsi:type="dcterms:W3CDTF">2021-08-25T14:56:00Z</dcterms:created>
  <dcterms:modified xsi:type="dcterms:W3CDTF">2021-09-20T15:54:00Z</dcterms:modified>
</cp:coreProperties>
</file>