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A24BD4" w:rsidRDefault="000F039C" w:rsidP="000E1710">
      <w:pPr>
        <w:tabs>
          <w:tab w:val="left" w:pos="7797"/>
        </w:tabs>
        <w:ind w:right="1693"/>
        <w:rPr>
          <w:rFonts w:cs="Arial"/>
          <w:b/>
          <w:sz w:val="28"/>
          <w:szCs w:val="28"/>
          <w:lang w:val="fr-FR"/>
        </w:rPr>
      </w:pPr>
      <w:bookmarkStart w:id="0" w:name="_GoBack"/>
      <w:r w:rsidRPr="00A24BD4">
        <w:rPr>
          <w:rFonts w:cs="Arial"/>
          <w:b/>
          <w:sz w:val="28"/>
          <w:szCs w:val="28"/>
          <w:lang w:val="fr-FR"/>
        </w:rPr>
        <w:t>TGW réalise le chiffre d'affaire</w:t>
      </w:r>
      <w:r w:rsidR="00E414A1">
        <w:rPr>
          <w:rFonts w:cs="Arial"/>
          <w:b/>
          <w:sz w:val="28"/>
          <w:szCs w:val="28"/>
          <w:lang w:val="fr-FR"/>
        </w:rPr>
        <w:t>s</w:t>
      </w:r>
      <w:r w:rsidRPr="00A24BD4">
        <w:rPr>
          <w:rFonts w:cs="Arial"/>
          <w:b/>
          <w:sz w:val="28"/>
          <w:szCs w:val="28"/>
          <w:lang w:val="fr-FR"/>
        </w:rPr>
        <w:t xml:space="preserve"> le plus </w:t>
      </w:r>
      <w:r w:rsidR="00E414A1">
        <w:rPr>
          <w:rFonts w:cs="Arial"/>
          <w:b/>
          <w:sz w:val="28"/>
          <w:szCs w:val="28"/>
          <w:lang w:val="fr-FR"/>
        </w:rPr>
        <w:t xml:space="preserve">élevé </w:t>
      </w:r>
      <w:r w:rsidRPr="00A24BD4">
        <w:rPr>
          <w:rFonts w:cs="Arial"/>
          <w:b/>
          <w:sz w:val="28"/>
          <w:szCs w:val="28"/>
          <w:lang w:val="fr-FR"/>
        </w:rPr>
        <w:t>de son histoire</w:t>
      </w:r>
    </w:p>
    <w:bookmarkEnd w:id="0"/>
    <w:p w:rsidR="00E95184" w:rsidRPr="00A24BD4" w:rsidRDefault="00E95184" w:rsidP="000F039C">
      <w:pPr>
        <w:tabs>
          <w:tab w:val="left" w:pos="7797"/>
        </w:tabs>
        <w:ind w:right="1693"/>
        <w:jc w:val="both"/>
        <w:rPr>
          <w:rFonts w:cs="Arial"/>
          <w:b/>
          <w:sz w:val="22"/>
          <w:lang w:val="fr-FR"/>
        </w:rPr>
      </w:pPr>
    </w:p>
    <w:p w:rsidR="00E63E18" w:rsidRPr="00A24BD4" w:rsidRDefault="000F039C" w:rsidP="00C31CEB">
      <w:pPr>
        <w:pStyle w:val="Listenabsatz"/>
        <w:numPr>
          <w:ilvl w:val="0"/>
          <w:numId w:val="24"/>
        </w:numPr>
        <w:ind w:right="1268"/>
        <w:rPr>
          <w:rFonts w:cs="Arial"/>
          <w:b/>
          <w:sz w:val="22"/>
          <w:lang w:val="fr-FR"/>
        </w:rPr>
      </w:pPr>
      <w:r w:rsidRPr="00A24BD4">
        <w:rPr>
          <w:rFonts w:cs="Arial"/>
          <w:b/>
          <w:sz w:val="22"/>
          <w:lang w:val="fr-FR"/>
        </w:rPr>
        <w:t>835,8 millions d'euros, un nouveau chiffre d'affaire</w:t>
      </w:r>
      <w:r w:rsidR="00E414A1">
        <w:rPr>
          <w:rFonts w:cs="Arial"/>
          <w:b/>
          <w:sz w:val="22"/>
          <w:lang w:val="fr-FR"/>
        </w:rPr>
        <w:t>s</w:t>
      </w:r>
      <w:r w:rsidRPr="00A24BD4">
        <w:rPr>
          <w:rFonts w:cs="Arial"/>
          <w:b/>
          <w:sz w:val="22"/>
          <w:lang w:val="fr-FR"/>
        </w:rPr>
        <w:t xml:space="preserve"> record dans les 50 ans d'histoire de l'entreprise</w:t>
      </w:r>
    </w:p>
    <w:p w:rsidR="001A08BF" w:rsidRPr="00A24BD4" w:rsidRDefault="00142D57" w:rsidP="00C31CEB">
      <w:pPr>
        <w:pStyle w:val="Listenabsatz"/>
        <w:numPr>
          <w:ilvl w:val="0"/>
          <w:numId w:val="24"/>
        </w:numPr>
        <w:ind w:right="1268"/>
        <w:rPr>
          <w:rFonts w:cs="Arial"/>
          <w:b/>
          <w:szCs w:val="20"/>
          <w:lang w:val="fr-FR"/>
        </w:rPr>
      </w:pPr>
      <w:r w:rsidRPr="00A24BD4">
        <w:rPr>
          <w:rFonts w:cs="Arial"/>
          <w:b/>
          <w:sz w:val="22"/>
          <w:lang w:val="fr-FR"/>
        </w:rPr>
        <w:t>250 collaborateurs de plus pour un total de 3 667 au 30 juin 2020</w:t>
      </w:r>
    </w:p>
    <w:p w:rsidR="00C31CEB" w:rsidRPr="00A24BD4" w:rsidRDefault="00C31CEB" w:rsidP="00C31CEB">
      <w:pPr>
        <w:pStyle w:val="Listenabsatz"/>
        <w:numPr>
          <w:ilvl w:val="0"/>
          <w:numId w:val="24"/>
        </w:numPr>
        <w:ind w:right="1268"/>
        <w:rPr>
          <w:rFonts w:cs="Arial"/>
          <w:b/>
          <w:szCs w:val="20"/>
          <w:lang w:val="fr-FR"/>
        </w:rPr>
      </w:pPr>
      <w:r w:rsidRPr="00A24BD4">
        <w:rPr>
          <w:rFonts w:cs="Arial"/>
          <w:b/>
          <w:sz w:val="22"/>
          <w:lang w:val="fr-FR"/>
        </w:rPr>
        <w:t>Au cours de cet exercice, TGW engage plus de 400 nouveaux collaborateurs</w:t>
      </w:r>
    </w:p>
    <w:p w:rsidR="007F66BF" w:rsidRPr="00A24BD4" w:rsidRDefault="007F66BF" w:rsidP="00C31CEB">
      <w:pPr>
        <w:pStyle w:val="Listenabsatz"/>
        <w:numPr>
          <w:ilvl w:val="0"/>
          <w:numId w:val="24"/>
        </w:numPr>
        <w:ind w:right="1268"/>
        <w:rPr>
          <w:rFonts w:cs="Arial"/>
          <w:b/>
          <w:sz w:val="22"/>
          <w:lang w:val="fr-FR"/>
        </w:rPr>
      </w:pPr>
      <w:r w:rsidRPr="00A24BD4">
        <w:rPr>
          <w:rFonts w:cs="Arial"/>
          <w:b/>
          <w:sz w:val="22"/>
          <w:lang w:val="fr-FR"/>
        </w:rPr>
        <w:t>Son bénéfice avant intérêts et impôts augmente de 37,1 millions d'euros</w:t>
      </w:r>
    </w:p>
    <w:p w:rsidR="002D4595" w:rsidRPr="00A24BD4" w:rsidRDefault="002D4595" w:rsidP="00A9753C">
      <w:pPr>
        <w:tabs>
          <w:tab w:val="left" w:pos="2514"/>
          <w:tab w:val="left" w:pos="7797"/>
        </w:tabs>
        <w:ind w:right="1693"/>
        <w:rPr>
          <w:rFonts w:cs="Arial"/>
          <w:b/>
          <w:szCs w:val="20"/>
          <w:lang w:val="fr-FR"/>
        </w:rPr>
      </w:pPr>
    </w:p>
    <w:p w:rsidR="0052724A" w:rsidRPr="00A24BD4" w:rsidRDefault="00A93BE5" w:rsidP="000F039C">
      <w:pPr>
        <w:tabs>
          <w:tab w:val="left" w:pos="7797"/>
        </w:tabs>
        <w:ind w:right="1693"/>
        <w:jc w:val="both"/>
        <w:rPr>
          <w:rFonts w:cs="Arial"/>
          <w:b/>
          <w:szCs w:val="20"/>
          <w:lang w:val="fr-FR"/>
        </w:rPr>
      </w:pPr>
      <w:r w:rsidRPr="00A24BD4">
        <w:rPr>
          <w:rFonts w:cs="Arial"/>
          <w:b/>
          <w:szCs w:val="20"/>
          <w:lang w:val="fr-FR"/>
        </w:rPr>
        <w:t>(Marchtrenk, 25 septembre 2020) TGW Logistics Group sis à Marchtrenk a terminé avec brio son exercice 2019/2020 (du 1</w:t>
      </w:r>
      <w:r w:rsidRPr="00A24BD4">
        <w:rPr>
          <w:lang w:val="fr-FR"/>
        </w:rPr>
        <w:t>er</w:t>
      </w:r>
      <w:r w:rsidRPr="00A24BD4">
        <w:rPr>
          <w:rFonts w:cs="Arial"/>
          <w:b/>
          <w:szCs w:val="20"/>
          <w:lang w:val="fr-FR"/>
        </w:rPr>
        <w:t xml:space="preserve"> juillet 2019 au 30 juin 2020). Le chiffre d'affaire</w:t>
      </w:r>
      <w:r w:rsidR="00E414A1">
        <w:rPr>
          <w:rFonts w:cs="Arial"/>
          <w:b/>
          <w:szCs w:val="20"/>
          <w:lang w:val="fr-FR"/>
        </w:rPr>
        <w:t>s</w:t>
      </w:r>
      <w:r w:rsidRPr="00A24BD4">
        <w:rPr>
          <w:rFonts w:cs="Arial"/>
          <w:b/>
          <w:szCs w:val="20"/>
          <w:lang w:val="fr-FR"/>
        </w:rPr>
        <w:t xml:space="preserve"> du spécialiste international de l'intralogistique a augmenté de 719 à 835,8 millions d'euros. Avec ce chiffre, TGW peut se réjouir d'un nouveau record dans ses 50 ans d'histoire. Le nombre de collaborateurs a aussi augmenté, de plus de 250 pour atteindre aujourd'hui 3 667. La courbe de croissance des dernières années se confirme et s'ins</w:t>
      </w:r>
      <w:r w:rsidR="004C7DD9">
        <w:rPr>
          <w:rFonts w:cs="Arial"/>
          <w:b/>
          <w:szCs w:val="20"/>
          <w:lang w:val="fr-FR"/>
        </w:rPr>
        <w:t>crit</w:t>
      </w:r>
      <w:r w:rsidRPr="00A24BD4">
        <w:rPr>
          <w:rFonts w:cs="Arial"/>
          <w:b/>
          <w:szCs w:val="20"/>
          <w:lang w:val="fr-FR"/>
        </w:rPr>
        <w:t xml:space="preserve"> ainsi dans la durée.</w:t>
      </w:r>
    </w:p>
    <w:p w:rsidR="00A93BE5" w:rsidRPr="00A24BD4" w:rsidRDefault="00A93BE5" w:rsidP="000F039C">
      <w:pPr>
        <w:tabs>
          <w:tab w:val="left" w:pos="7797"/>
        </w:tabs>
        <w:ind w:right="1693"/>
        <w:jc w:val="both"/>
        <w:rPr>
          <w:rFonts w:cs="Arial"/>
          <w:szCs w:val="20"/>
          <w:lang w:val="fr-FR"/>
        </w:rPr>
      </w:pPr>
    </w:p>
    <w:p w:rsidR="00F23766" w:rsidRPr="00E414A1" w:rsidRDefault="00314FF1" w:rsidP="000F039C">
      <w:pPr>
        <w:tabs>
          <w:tab w:val="left" w:pos="7797"/>
        </w:tabs>
        <w:ind w:right="1693"/>
        <w:jc w:val="both"/>
        <w:rPr>
          <w:rFonts w:cs="Arial"/>
          <w:szCs w:val="20"/>
          <w:lang w:val="fr-FR"/>
        </w:rPr>
      </w:pPr>
      <w:r w:rsidRPr="00E414A1">
        <w:rPr>
          <w:rFonts w:cs="Arial"/>
          <w:szCs w:val="20"/>
          <w:lang w:val="fr-FR"/>
        </w:rPr>
        <w:t>Durant l'exercice 2019/2020, le spécialiste de l'intralogistique TGW a atteint un volume de commande</w:t>
      </w:r>
      <w:r w:rsidR="004C7DD9">
        <w:rPr>
          <w:rFonts w:cs="Arial"/>
          <w:szCs w:val="20"/>
          <w:lang w:val="fr-FR"/>
        </w:rPr>
        <w:t>s</w:t>
      </w:r>
      <w:r w:rsidRPr="00E414A1">
        <w:rPr>
          <w:rFonts w:cs="Arial"/>
          <w:szCs w:val="20"/>
          <w:lang w:val="fr-FR"/>
        </w:rPr>
        <w:t xml:space="preserve"> total de 822 millions d'euros, en Europe, en Chine et aux USA. Harald Schröpf, CEO d</w:t>
      </w:r>
      <w:r w:rsidR="00A24BD4">
        <w:rPr>
          <w:rFonts w:cs="Arial"/>
          <w:szCs w:val="20"/>
          <w:lang w:val="fr-FR"/>
        </w:rPr>
        <w:t>e</w:t>
      </w:r>
      <w:r w:rsidRPr="00E414A1">
        <w:rPr>
          <w:rFonts w:cs="Arial"/>
          <w:szCs w:val="20"/>
          <w:lang w:val="fr-FR"/>
        </w:rPr>
        <w:t xml:space="preserve"> TGW Logistics Group, souligne :</w:t>
      </w:r>
    </w:p>
    <w:p w:rsidR="00F23766" w:rsidRPr="00E414A1" w:rsidRDefault="00F23766" w:rsidP="000F039C">
      <w:pPr>
        <w:tabs>
          <w:tab w:val="left" w:pos="7797"/>
        </w:tabs>
        <w:ind w:right="1693"/>
        <w:jc w:val="both"/>
        <w:rPr>
          <w:rFonts w:cs="Arial"/>
          <w:szCs w:val="20"/>
          <w:lang w:val="fr-FR"/>
        </w:rPr>
      </w:pPr>
    </w:p>
    <w:p w:rsidR="000F039C" w:rsidRPr="00A24BD4" w:rsidRDefault="00F23766" w:rsidP="00142D57">
      <w:pPr>
        <w:tabs>
          <w:tab w:val="left" w:pos="6237"/>
        </w:tabs>
        <w:ind w:left="709" w:right="2402"/>
        <w:jc w:val="both"/>
        <w:rPr>
          <w:rFonts w:cs="Arial"/>
          <w:i/>
          <w:szCs w:val="20"/>
          <w:lang w:val="fr-FR"/>
        </w:rPr>
      </w:pPr>
      <w:r w:rsidRPr="00E414A1">
        <w:rPr>
          <w:rFonts w:cs="Arial"/>
          <w:i/>
          <w:szCs w:val="20"/>
          <w:lang w:val="fr-FR"/>
        </w:rPr>
        <w:t>« Au cours de cet exercice, de nombreuses entreprises ont confié leur intralogistique à TGW : d</w:t>
      </w:r>
      <w:r w:rsidR="004C7DD9">
        <w:rPr>
          <w:rFonts w:cs="Arial"/>
          <w:i/>
          <w:szCs w:val="20"/>
          <w:lang w:val="fr-FR"/>
        </w:rPr>
        <w:t xml:space="preserve">e </w:t>
      </w:r>
      <w:r w:rsidRPr="00E414A1">
        <w:rPr>
          <w:rFonts w:cs="Arial"/>
          <w:i/>
          <w:szCs w:val="20"/>
          <w:lang w:val="fr-FR"/>
        </w:rPr>
        <w:t xml:space="preserve">Urban Outfitters à Zalando et à l'enseigne de prêt-à-porter autrichienne Personalshop. </w:t>
      </w:r>
      <w:r w:rsidRPr="00A24BD4">
        <w:rPr>
          <w:rFonts w:cs="Arial"/>
          <w:i/>
          <w:szCs w:val="20"/>
          <w:lang w:val="fr-FR"/>
        </w:rPr>
        <w:t>Par rapport à l'exercice précédent, nous avons pu augmenter notre chiffre d'affaire de plus de 16 pourcents pour atteindre 835,8</w:t>
      </w:r>
      <w:r w:rsidR="00674CCF" w:rsidRPr="00A24BD4">
        <w:rPr>
          <w:rFonts w:cs="Arial"/>
          <w:i/>
          <w:szCs w:val="20"/>
          <w:lang w:val="fr-FR"/>
        </w:rPr>
        <w:t xml:space="preserve"> </w:t>
      </w:r>
      <w:r w:rsidRPr="00A24BD4">
        <w:rPr>
          <w:rFonts w:cs="Arial"/>
          <w:i/>
          <w:szCs w:val="20"/>
          <w:lang w:val="fr-FR"/>
        </w:rPr>
        <w:t>millions d'euros, un nouveau record dans l'histoire de l'entreprise. »</w:t>
      </w:r>
    </w:p>
    <w:p w:rsidR="006B47AA" w:rsidRPr="00A24BD4" w:rsidRDefault="006B47AA" w:rsidP="00142D57">
      <w:pPr>
        <w:tabs>
          <w:tab w:val="left" w:pos="6237"/>
        </w:tabs>
        <w:ind w:left="709" w:right="2402"/>
        <w:jc w:val="both"/>
        <w:rPr>
          <w:rFonts w:cs="Arial"/>
          <w:i/>
          <w:sz w:val="18"/>
          <w:szCs w:val="18"/>
          <w:lang w:val="fr-FR"/>
        </w:rPr>
      </w:pPr>
    </w:p>
    <w:p w:rsidR="006B47AA" w:rsidRPr="00A24BD4" w:rsidRDefault="0003447B" w:rsidP="006B47AA">
      <w:pPr>
        <w:tabs>
          <w:tab w:val="left" w:pos="6237"/>
        </w:tabs>
        <w:ind w:right="2402"/>
        <w:jc w:val="both"/>
        <w:rPr>
          <w:rFonts w:cs="Arial"/>
          <w:b/>
          <w:sz w:val="18"/>
          <w:szCs w:val="18"/>
          <w:lang w:val="fr-FR"/>
        </w:rPr>
      </w:pPr>
      <w:r w:rsidRPr="00A24BD4">
        <w:rPr>
          <w:rFonts w:cs="Arial"/>
          <w:b/>
          <w:sz w:val="18"/>
          <w:szCs w:val="18"/>
          <w:lang w:val="fr-FR"/>
        </w:rPr>
        <w:t>Augmentation du bénéfice avant intérêts et impôts et programme de participation des collaborateurs</w:t>
      </w:r>
    </w:p>
    <w:p w:rsidR="0050308A" w:rsidRPr="00A24BD4" w:rsidRDefault="0050308A" w:rsidP="00886389">
      <w:pPr>
        <w:tabs>
          <w:tab w:val="left" w:pos="7797"/>
        </w:tabs>
        <w:ind w:right="1693"/>
        <w:jc w:val="both"/>
        <w:rPr>
          <w:rFonts w:cs="Arial"/>
          <w:szCs w:val="20"/>
          <w:lang w:val="fr-FR"/>
        </w:rPr>
      </w:pPr>
    </w:p>
    <w:p w:rsidR="00836001" w:rsidRPr="00A24BD4" w:rsidRDefault="00E14AA9" w:rsidP="00886389">
      <w:pPr>
        <w:tabs>
          <w:tab w:val="left" w:pos="7797"/>
        </w:tabs>
        <w:ind w:right="1693"/>
        <w:jc w:val="both"/>
        <w:rPr>
          <w:rFonts w:cs="Arial"/>
          <w:szCs w:val="20"/>
          <w:lang w:val="fr-FR"/>
        </w:rPr>
      </w:pPr>
      <w:r w:rsidRPr="00E414A1">
        <w:rPr>
          <w:rFonts w:cs="Arial"/>
          <w:szCs w:val="20"/>
          <w:lang w:val="fr-FR"/>
        </w:rPr>
        <w:t xml:space="preserve">Le bénéfice avant intérêts et impôts s'élève à 37,1 millions d'euros ; il était de 27,9 millions l'année précédente. </w:t>
      </w:r>
      <w:r w:rsidRPr="00A24BD4">
        <w:rPr>
          <w:rFonts w:cs="Arial"/>
          <w:szCs w:val="20"/>
          <w:lang w:val="fr-FR"/>
        </w:rPr>
        <w:t>Ceci représente une augmentation de plus de 33 pourcents. En tant qu</w:t>
      </w:r>
      <w:r w:rsidR="0096011A">
        <w:rPr>
          <w:rFonts w:cs="Arial"/>
          <w:szCs w:val="20"/>
          <w:lang w:val="fr-FR"/>
        </w:rPr>
        <w:t>e</w:t>
      </w:r>
      <w:r w:rsidRPr="00A24BD4">
        <w:rPr>
          <w:rFonts w:cs="Arial"/>
          <w:szCs w:val="20"/>
          <w:lang w:val="fr-FR"/>
        </w:rPr>
        <w:t xml:space="preserve"> fondation, TGW ne peut être vendue, l'activité entrepreneuriale à succès et la responsabilité sociale étant liées l'une à l'autre d'une manière inséparable. </w:t>
      </w:r>
      <w:r w:rsidRPr="00A24BD4">
        <w:rPr>
          <w:rFonts w:cs="Arial"/>
          <w:szCs w:val="20"/>
          <w:lang w:val="fr-FR"/>
        </w:rPr>
        <w:lastRenderedPageBreak/>
        <w:t>Les deux tiers du bénéfice restent dans l'entreprise et sont investis, pour les collaborateurs, l'infrastructure et les innovations de demain. TGW est ainsi un partenaire stable et un employeur fiable. Dix pourcents du bénéfice de TGW sont reversés aux projets caritatifs de la fondation Future Wings axés sur le développement holistique de la personnalité des enfants et des adolescents.</w:t>
      </w:r>
    </w:p>
    <w:p w:rsidR="0003447B" w:rsidRPr="00A24BD4" w:rsidRDefault="0003447B" w:rsidP="00886389">
      <w:pPr>
        <w:tabs>
          <w:tab w:val="left" w:pos="7797"/>
        </w:tabs>
        <w:ind w:right="1693"/>
        <w:jc w:val="both"/>
        <w:rPr>
          <w:rFonts w:cs="Arial"/>
          <w:szCs w:val="20"/>
          <w:lang w:val="fr-FR"/>
        </w:rPr>
      </w:pPr>
    </w:p>
    <w:p w:rsidR="00480054" w:rsidRPr="00E414A1" w:rsidRDefault="00BD36E9" w:rsidP="00886389">
      <w:pPr>
        <w:tabs>
          <w:tab w:val="left" w:pos="7797"/>
        </w:tabs>
        <w:ind w:right="1693"/>
        <w:jc w:val="both"/>
        <w:rPr>
          <w:rFonts w:cs="Arial"/>
          <w:szCs w:val="20"/>
          <w:lang w:val="fr-FR"/>
        </w:rPr>
      </w:pPr>
      <w:r w:rsidRPr="00E414A1">
        <w:rPr>
          <w:rFonts w:cs="Arial"/>
          <w:szCs w:val="20"/>
          <w:lang w:val="fr-FR"/>
        </w:rPr>
        <w:t xml:space="preserve">C'est la troisième fois que TGW reverse, dans le cadre du programme de participation duale des employés, la somme </w:t>
      </w:r>
      <w:r w:rsidR="0054594C" w:rsidRPr="00E414A1">
        <w:rPr>
          <w:rFonts w:cs="Arial"/>
          <w:szCs w:val="20"/>
          <w:lang w:val="fr-FR"/>
        </w:rPr>
        <w:t xml:space="preserve">de 4,1 millions d'euros à ses </w:t>
      </w:r>
      <w:r w:rsidRPr="00E414A1">
        <w:rPr>
          <w:rFonts w:cs="Arial"/>
          <w:szCs w:val="20"/>
          <w:lang w:val="fr-FR"/>
        </w:rPr>
        <w:t>collaborateurs. Avec transparence et équité, tous les collaborateurs de l'entreprise ont reçu le même montant de base : indépendamment du poste qu'ils occupent et du pays où ils travaillent, en Autriche, en Chine ou aux USA.</w:t>
      </w:r>
    </w:p>
    <w:p w:rsidR="008E3FA1" w:rsidRPr="00E414A1" w:rsidRDefault="00D57984" w:rsidP="00886389">
      <w:pPr>
        <w:tabs>
          <w:tab w:val="left" w:pos="7797"/>
        </w:tabs>
        <w:ind w:right="1693"/>
        <w:jc w:val="both"/>
        <w:rPr>
          <w:rFonts w:cs="Arial"/>
          <w:szCs w:val="20"/>
          <w:lang w:val="fr-FR"/>
        </w:rPr>
      </w:pPr>
      <w:r w:rsidRPr="00E414A1">
        <w:rPr>
          <w:rFonts w:cs="Arial"/>
          <w:szCs w:val="20"/>
          <w:lang w:val="fr-FR"/>
        </w:rPr>
        <w:t xml:space="preserve"> </w:t>
      </w:r>
    </w:p>
    <w:p w:rsidR="00AE4EDA" w:rsidRDefault="009348E3" w:rsidP="00886389">
      <w:pPr>
        <w:tabs>
          <w:tab w:val="left" w:pos="7797"/>
        </w:tabs>
        <w:ind w:right="1693"/>
        <w:jc w:val="both"/>
        <w:rPr>
          <w:rFonts w:cs="Arial"/>
          <w:b/>
          <w:szCs w:val="20"/>
        </w:rPr>
      </w:pPr>
      <w:r>
        <w:rPr>
          <w:rFonts w:cs="Arial"/>
          <w:b/>
          <w:szCs w:val="20"/>
        </w:rPr>
        <w:t>Quelques chiffres</w:t>
      </w:r>
    </w:p>
    <w:p w:rsidR="00182632" w:rsidRPr="00B576E9" w:rsidRDefault="00182632" w:rsidP="00886389">
      <w:pPr>
        <w:tabs>
          <w:tab w:val="left" w:pos="7797"/>
        </w:tabs>
        <w:ind w:right="1693"/>
        <w:jc w:val="both"/>
        <w:rPr>
          <w:rFonts w:cs="Arial"/>
          <w:b/>
          <w:szCs w:val="20"/>
          <w:lang w:val="en-AU"/>
        </w:rPr>
      </w:pPr>
    </w:p>
    <w:tbl>
      <w:tblPr>
        <w:tblW w:w="8062" w:type="dxa"/>
        <w:tblCellMar>
          <w:left w:w="0" w:type="dxa"/>
          <w:right w:w="0" w:type="dxa"/>
        </w:tblCellMar>
        <w:tblLook w:val="0420" w:firstRow="1" w:lastRow="0" w:firstColumn="0" w:lastColumn="0" w:noHBand="0" w:noVBand="1"/>
      </w:tblPr>
      <w:tblGrid>
        <w:gridCol w:w="3482"/>
        <w:gridCol w:w="2215"/>
        <w:gridCol w:w="2365"/>
      </w:tblGrid>
      <w:tr w:rsidR="00594926" w:rsidRPr="00594926" w:rsidTr="00594926">
        <w:trPr>
          <w:trHeight w:val="785"/>
        </w:trPr>
        <w:tc>
          <w:tcPr>
            <w:tcW w:w="3482"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rsidR="00594926" w:rsidRPr="00594926" w:rsidRDefault="00594926" w:rsidP="00594926">
            <w:pPr>
              <w:spacing w:line="240" w:lineRule="auto"/>
              <w:rPr>
                <w:rFonts w:eastAsia="Times New Roman" w:cs="Arial"/>
                <w:sz w:val="36"/>
                <w:szCs w:val="36"/>
              </w:rPr>
            </w:pPr>
            <w:r w:rsidRPr="00594926">
              <w:rPr>
                <w:rFonts w:eastAsia="Times New Roman" w:cs="Arial"/>
                <w:b/>
                <w:bCs/>
                <w:color w:val="FFFFFF"/>
                <w:kern w:val="24"/>
                <w:sz w:val="30"/>
                <w:szCs w:val="30"/>
              </w:rPr>
              <w:t>Financial year</w:t>
            </w:r>
          </w:p>
        </w:tc>
        <w:tc>
          <w:tcPr>
            <w:tcW w:w="2215"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FFFFFF"/>
                <w:kern w:val="24"/>
                <w:sz w:val="30"/>
                <w:szCs w:val="30"/>
              </w:rPr>
              <w:t>2018/2019</w:t>
            </w:r>
          </w:p>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FFFFFF"/>
                <w:kern w:val="24"/>
                <w:szCs w:val="20"/>
              </w:rPr>
              <w:t>1 July 18 – 30 June 19</w:t>
            </w:r>
          </w:p>
        </w:tc>
        <w:tc>
          <w:tcPr>
            <w:tcW w:w="2365"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b/>
                <w:bCs/>
                <w:color w:val="FFFFFF"/>
                <w:kern w:val="24"/>
                <w:sz w:val="30"/>
                <w:szCs w:val="30"/>
              </w:rPr>
              <w:t>2019/2020</w:t>
            </w:r>
          </w:p>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FFFFFF"/>
                <w:kern w:val="24"/>
                <w:szCs w:val="20"/>
                <w:lang w:val="da-DK"/>
              </w:rPr>
              <w:t>1 July 19 – 30 June 20</w:t>
            </w:r>
          </w:p>
        </w:tc>
      </w:tr>
      <w:tr w:rsidR="00594926" w:rsidRPr="00594926" w:rsidTr="00594926">
        <w:trPr>
          <w:trHeight w:val="530"/>
        </w:trPr>
        <w:tc>
          <w:tcPr>
            <w:tcW w:w="3482"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rPr>
                <w:rFonts w:eastAsia="Times New Roman" w:cs="Arial"/>
                <w:sz w:val="36"/>
                <w:szCs w:val="36"/>
              </w:rPr>
            </w:pPr>
            <w:r w:rsidRPr="00594926">
              <w:rPr>
                <w:rFonts w:eastAsia="Times New Roman" w:cs="Arial"/>
                <w:b/>
                <w:bCs/>
                <w:color w:val="000000"/>
                <w:kern w:val="24"/>
                <w:sz w:val="28"/>
                <w:szCs w:val="28"/>
              </w:rPr>
              <w:t xml:space="preserve">Turnover </w:t>
            </w:r>
            <w:r w:rsidRPr="00594926">
              <w:rPr>
                <w:rFonts w:eastAsia="Times New Roman" w:cs="Arial"/>
                <w:color w:val="000000"/>
                <w:kern w:val="24"/>
                <w:szCs w:val="20"/>
              </w:rPr>
              <w:t>(MEUR)</w:t>
            </w:r>
          </w:p>
        </w:tc>
        <w:tc>
          <w:tcPr>
            <w:tcW w:w="221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000000"/>
                <w:kern w:val="24"/>
                <w:sz w:val="28"/>
                <w:szCs w:val="28"/>
              </w:rPr>
              <w:t>719,6</w:t>
            </w:r>
          </w:p>
        </w:tc>
        <w:tc>
          <w:tcPr>
            <w:tcW w:w="236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b/>
                <w:bCs/>
                <w:color w:val="000000"/>
                <w:kern w:val="24"/>
                <w:sz w:val="28"/>
                <w:szCs w:val="28"/>
              </w:rPr>
              <w:t>835,8</w:t>
            </w:r>
          </w:p>
        </w:tc>
      </w:tr>
      <w:tr w:rsidR="00594926" w:rsidRPr="00594926" w:rsidTr="00594926">
        <w:trPr>
          <w:trHeight w:val="530"/>
        </w:trPr>
        <w:tc>
          <w:tcPr>
            <w:tcW w:w="348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rPr>
                <w:rFonts w:eastAsia="Times New Roman" w:cs="Arial"/>
                <w:sz w:val="36"/>
                <w:szCs w:val="36"/>
              </w:rPr>
            </w:pPr>
            <w:r w:rsidRPr="00594926">
              <w:rPr>
                <w:rFonts w:eastAsia="Times New Roman" w:cs="Arial"/>
                <w:b/>
                <w:bCs/>
                <w:color w:val="000000"/>
                <w:kern w:val="24"/>
                <w:sz w:val="28"/>
                <w:szCs w:val="28"/>
              </w:rPr>
              <w:t xml:space="preserve">EBIT </w:t>
            </w:r>
            <w:r w:rsidRPr="00594926">
              <w:rPr>
                <w:rFonts w:eastAsia="Times New Roman" w:cs="Arial"/>
                <w:color w:val="000000"/>
                <w:kern w:val="24"/>
                <w:szCs w:val="20"/>
              </w:rPr>
              <w:t>(MEUR)</w:t>
            </w:r>
          </w:p>
        </w:tc>
        <w:tc>
          <w:tcPr>
            <w:tcW w:w="221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000000"/>
                <w:kern w:val="24"/>
                <w:sz w:val="28"/>
                <w:szCs w:val="28"/>
              </w:rPr>
              <w:t>27,9</w:t>
            </w:r>
          </w:p>
        </w:tc>
        <w:tc>
          <w:tcPr>
            <w:tcW w:w="23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b/>
                <w:bCs/>
                <w:color w:val="000000"/>
                <w:kern w:val="24"/>
                <w:sz w:val="28"/>
                <w:szCs w:val="28"/>
              </w:rPr>
              <w:t>37,1</w:t>
            </w:r>
          </w:p>
        </w:tc>
      </w:tr>
      <w:tr w:rsidR="00594926" w:rsidRPr="00594926" w:rsidTr="00594926">
        <w:trPr>
          <w:trHeight w:val="530"/>
        </w:trPr>
        <w:tc>
          <w:tcPr>
            <w:tcW w:w="3482"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rPr>
                <w:rFonts w:eastAsia="Times New Roman" w:cs="Arial"/>
                <w:sz w:val="36"/>
                <w:szCs w:val="36"/>
              </w:rPr>
            </w:pPr>
            <w:r w:rsidRPr="00594926">
              <w:rPr>
                <w:rFonts w:eastAsia="Times New Roman" w:cs="Arial"/>
                <w:b/>
                <w:bCs/>
                <w:color w:val="000000"/>
                <w:kern w:val="24"/>
                <w:sz w:val="28"/>
                <w:szCs w:val="28"/>
              </w:rPr>
              <w:t xml:space="preserve">Employee Participation </w:t>
            </w:r>
            <w:r w:rsidRPr="00594926">
              <w:rPr>
                <w:rFonts w:eastAsia="Times New Roman" w:cs="Arial"/>
                <w:color w:val="000000"/>
                <w:kern w:val="24"/>
                <w:szCs w:val="20"/>
              </w:rPr>
              <w:t>(MEUR)</w:t>
            </w:r>
          </w:p>
        </w:tc>
        <w:tc>
          <w:tcPr>
            <w:tcW w:w="221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000000"/>
                <w:kern w:val="24"/>
                <w:sz w:val="28"/>
                <w:szCs w:val="28"/>
              </w:rPr>
              <w:t>3,1</w:t>
            </w:r>
          </w:p>
        </w:tc>
        <w:tc>
          <w:tcPr>
            <w:tcW w:w="23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b/>
                <w:bCs/>
                <w:color w:val="000000"/>
                <w:kern w:val="24"/>
                <w:sz w:val="28"/>
                <w:szCs w:val="28"/>
              </w:rPr>
              <w:t>4,1</w:t>
            </w:r>
          </w:p>
        </w:tc>
      </w:tr>
      <w:tr w:rsidR="00594926" w:rsidRPr="00594926" w:rsidTr="00594926">
        <w:trPr>
          <w:trHeight w:val="530"/>
        </w:trPr>
        <w:tc>
          <w:tcPr>
            <w:tcW w:w="3482"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rPr>
                <w:rFonts w:eastAsia="Times New Roman" w:cs="Arial"/>
                <w:sz w:val="36"/>
                <w:szCs w:val="36"/>
              </w:rPr>
            </w:pPr>
            <w:r w:rsidRPr="00594926">
              <w:rPr>
                <w:rFonts w:eastAsia="Times New Roman" w:cs="Arial"/>
                <w:b/>
                <w:bCs/>
                <w:color w:val="000000"/>
                <w:kern w:val="24"/>
                <w:sz w:val="28"/>
                <w:szCs w:val="28"/>
              </w:rPr>
              <w:t>Employees</w:t>
            </w:r>
          </w:p>
        </w:tc>
        <w:tc>
          <w:tcPr>
            <w:tcW w:w="221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color w:val="000000"/>
                <w:kern w:val="24"/>
                <w:sz w:val="28"/>
                <w:szCs w:val="28"/>
              </w:rPr>
              <w:t>3.415</w:t>
            </w:r>
          </w:p>
        </w:tc>
        <w:tc>
          <w:tcPr>
            <w:tcW w:w="23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594926" w:rsidRPr="00594926" w:rsidRDefault="00594926" w:rsidP="00594926">
            <w:pPr>
              <w:spacing w:line="240" w:lineRule="auto"/>
              <w:jc w:val="center"/>
              <w:rPr>
                <w:rFonts w:eastAsia="Times New Roman" w:cs="Arial"/>
                <w:sz w:val="36"/>
                <w:szCs w:val="36"/>
              </w:rPr>
            </w:pPr>
            <w:r w:rsidRPr="00594926">
              <w:rPr>
                <w:rFonts w:eastAsia="Times New Roman" w:cs="Arial"/>
                <w:b/>
                <w:bCs/>
                <w:color w:val="000000"/>
                <w:kern w:val="24"/>
                <w:sz w:val="28"/>
                <w:szCs w:val="28"/>
              </w:rPr>
              <w:t>3.667</w:t>
            </w:r>
          </w:p>
        </w:tc>
      </w:tr>
    </w:tbl>
    <w:p w:rsidR="00AE4EDA" w:rsidRPr="00B576E9" w:rsidRDefault="00182632" w:rsidP="00B576E9">
      <w:pPr>
        <w:tabs>
          <w:tab w:val="left" w:pos="7797"/>
        </w:tabs>
        <w:ind w:right="1693"/>
        <w:rPr>
          <w:rFonts w:cs="Arial"/>
          <w:b/>
          <w:szCs w:val="20"/>
          <w:lang w:val="en-AU"/>
        </w:rPr>
      </w:pPr>
      <w:r>
        <w:rPr>
          <w:rFonts w:cs="Arial"/>
          <w:b/>
          <w:szCs w:val="20"/>
          <w:lang w:val="en-AU"/>
        </w:rPr>
        <w:br/>
      </w:r>
    </w:p>
    <w:p w:rsidR="0034111E" w:rsidRPr="00A24BD4" w:rsidRDefault="008921F4" w:rsidP="0034111E">
      <w:pPr>
        <w:tabs>
          <w:tab w:val="left" w:pos="7797"/>
        </w:tabs>
        <w:ind w:right="1693"/>
        <w:jc w:val="both"/>
        <w:rPr>
          <w:rFonts w:cs="Arial"/>
          <w:b/>
          <w:szCs w:val="20"/>
          <w:lang w:val="fr-FR"/>
        </w:rPr>
      </w:pPr>
      <w:r w:rsidRPr="00A24BD4">
        <w:rPr>
          <w:rFonts w:cs="Arial"/>
          <w:b/>
          <w:szCs w:val="20"/>
          <w:lang w:val="fr-FR"/>
        </w:rPr>
        <w:t>TGW engage plus de 400 nouveaux collaborateurs</w:t>
      </w:r>
    </w:p>
    <w:p w:rsidR="0034111E" w:rsidRPr="00A24BD4" w:rsidRDefault="0034111E" w:rsidP="0034111E">
      <w:pPr>
        <w:tabs>
          <w:tab w:val="left" w:pos="7797"/>
        </w:tabs>
        <w:ind w:right="1693"/>
        <w:jc w:val="both"/>
        <w:rPr>
          <w:rFonts w:cs="Arial"/>
          <w:szCs w:val="20"/>
          <w:lang w:val="fr-FR"/>
        </w:rPr>
      </w:pPr>
    </w:p>
    <w:p w:rsidR="0034111E" w:rsidRPr="00A24BD4" w:rsidRDefault="008921F4" w:rsidP="0034111E">
      <w:pPr>
        <w:tabs>
          <w:tab w:val="left" w:pos="7797"/>
        </w:tabs>
        <w:ind w:right="1693"/>
        <w:jc w:val="both"/>
        <w:rPr>
          <w:rFonts w:cs="Arial"/>
          <w:szCs w:val="20"/>
          <w:lang w:val="fr-FR"/>
        </w:rPr>
      </w:pPr>
      <w:r w:rsidRPr="00E414A1">
        <w:rPr>
          <w:rFonts w:cs="Arial"/>
          <w:szCs w:val="20"/>
          <w:lang w:val="fr-FR"/>
        </w:rPr>
        <w:t xml:space="preserve">TGW </w:t>
      </w:r>
      <w:r w:rsidR="0089373B">
        <w:rPr>
          <w:rFonts w:cs="Arial"/>
          <w:szCs w:val="20"/>
          <w:lang w:val="fr-FR"/>
        </w:rPr>
        <w:t>a accueilli</w:t>
      </w:r>
      <w:r w:rsidRPr="00E414A1">
        <w:rPr>
          <w:rFonts w:cs="Arial"/>
          <w:szCs w:val="20"/>
          <w:lang w:val="fr-FR"/>
        </w:rPr>
        <w:t xml:space="preserve"> au cours de cet exercice 250</w:t>
      </w:r>
      <w:r w:rsidR="0089373B">
        <w:rPr>
          <w:rFonts w:cs="Arial"/>
          <w:szCs w:val="20"/>
          <w:lang w:val="fr-FR"/>
        </w:rPr>
        <w:t xml:space="preserve"> nouveaux</w:t>
      </w:r>
      <w:r w:rsidRPr="00E414A1">
        <w:rPr>
          <w:rFonts w:cs="Arial"/>
          <w:szCs w:val="20"/>
          <w:lang w:val="fr-FR"/>
        </w:rPr>
        <w:t xml:space="preserve"> collaborateurs. </w:t>
      </w:r>
      <w:r w:rsidR="0089373B">
        <w:rPr>
          <w:rFonts w:cs="Arial"/>
          <w:szCs w:val="20"/>
          <w:lang w:val="fr-FR"/>
        </w:rPr>
        <w:t>La poursuite de sa croissance nécessite la</w:t>
      </w:r>
      <w:r w:rsidRPr="00E414A1">
        <w:rPr>
          <w:rFonts w:cs="Arial"/>
          <w:szCs w:val="20"/>
          <w:lang w:val="fr-FR"/>
        </w:rPr>
        <w:t xml:space="preserve"> recherche de nouveaux </w:t>
      </w:r>
      <w:r w:rsidR="0089373B">
        <w:rPr>
          <w:rFonts w:cs="Arial"/>
          <w:szCs w:val="20"/>
          <w:lang w:val="fr-FR"/>
        </w:rPr>
        <w:t xml:space="preserve">informaticiens, automaticiens et chefs </w:t>
      </w:r>
      <w:r w:rsidRPr="00E414A1">
        <w:rPr>
          <w:rFonts w:cs="Arial"/>
          <w:szCs w:val="20"/>
          <w:lang w:val="fr-FR"/>
        </w:rPr>
        <w:t xml:space="preserve">de projet. </w:t>
      </w:r>
      <w:r w:rsidRPr="00A24BD4">
        <w:rPr>
          <w:rFonts w:cs="Arial"/>
          <w:szCs w:val="20"/>
          <w:lang w:val="fr-FR"/>
        </w:rPr>
        <w:t>Harald Schröpf insiste :</w:t>
      </w:r>
    </w:p>
    <w:p w:rsidR="009A5205" w:rsidRPr="00A24BD4" w:rsidRDefault="009A5205" w:rsidP="0034111E">
      <w:pPr>
        <w:tabs>
          <w:tab w:val="left" w:pos="7797"/>
        </w:tabs>
        <w:ind w:right="1693"/>
        <w:jc w:val="both"/>
        <w:rPr>
          <w:rFonts w:cs="Arial"/>
          <w:szCs w:val="20"/>
          <w:lang w:val="fr-FR"/>
        </w:rPr>
      </w:pPr>
    </w:p>
    <w:p w:rsidR="009A5205" w:rsidRPr="00A24BD4" w:rsidRDefault="009A5205" w:rsidP="002604C6">
      <w:pPr>
        <w:tabs>
          <w:tab w:val="left" w:pos="7088"/>
        </w:tabs>
        <w:ind w:left="709" w:right="2402"/>
        <w:jc w:val="both"/>
        <w:rPr>
          <w:rFonts w:cs="Arial"/>
          <w:i/>
          <w:szCs w:val="20"/>
          <w:lang w:val="fr-FR"/>
        </w:rPr>
      </w:pPr>
      <w:r w:rsidRPr="00A24BD4">
        <w:rPr>
          <w:rFonts w:cs="Arial"/>
          <w:i/>
          <w:szCs w:val="20"/>
          <w:lang w:val="fr-FR"/>
        </w:rPr>
        <w:t xml:space="preserve">« Les collaborateurs bien formés et motivés sont le socle de notre succès, en particulier dans un secteur aussi dynamique et innovateur que l'intralogistique. Pour pouvoir réussir </w:t>
      </w:r>
      <w:r w:rsidR="0089373B">
        <w:rPr>
          <w:rFonts w:cs="Arial"/>
          <w:i/>
          <w:szCs w:val="20"/>
          <w:lang w:val="fr-FR"/>
        </w:rPr>
        <w:t>l</w:t>
      </w:r>
      <w:r w:rsidR="0096011A">
        <w:rPr>
          <w:rFonts w:cs="Arial"/>
          <w:i/>
          <w:szCs w:val="20"/>
          <w:lang w:val="fr-FR"/>
        </w:rPr>
        <w:t xml:space="preserve">a mise en </w:t>
      </w:r>
      <w:r w:rsidR="0089373B">
        <w:rPr>
          <w:rFonts w:cs="Arial"/>
          <w:i/>
          <w:szCs w:val="20"/>
          <w:lang w:val="fr-FR"/>
        </w:rPr>
        <w:t>œuvre</w:t>
      </w:r>
      <w:r w:rsidRPr="00A24BD4">
        <w:rPr>
          <w:rFonts w:cs="Arial"/>
          <w:i/>
          <w:szCs w:val="20"/>
          <w:lang w:val="fr-FR"/>
        </w:rPr>
        <w:t xml:space="preserve"> de notre stratégie de croissance, nous prévoyons donc d'embaucher </w:t>
      </w:r>
      <w:r w:rsidR="0096011A">
        <w:rPr>
          <w:rFonts w:cs="Arial"/>
          <w:i/>
          <w:szCs w:val="20"/>
          <w:lang w:val="fr-FR"/>
        </w:rPr>
        <w:t xml:space="preserve">plus de 400 </w:t>
      </w:r>
      <w:r w:rsidR="0096011A">
        <w:rPr>
          <w:rFonts w:cs="Arial"/>
          <w:i/>
          <w:szCs w:val="20"/>
          <w:lang w:val="fr-FR"/>
        </w:rPr>
        <w:lastRenderedPageBreak/>
        <w:t xml:space="preserve">personnes supplémentaires </w:t>
      </w:r>
      <w:r w:rsidRPr="00A24BD4">
        <w:rPr>
          <w:rFonts w:cs="Arial"/>
          <w:i/>
          <w:szCs w:val="20"/>
          <w:lang w:val="fr-FR"/>
        </w:rPr>
        <w:t xml:space="preserve">au cours de cet exercice </w:t>
      </w:r>
      <w:r w:rsidR="0096011A">
        <w:rPr>
          <w:rFonts w:cs="Arial"/>
          <w:i/>
          <w:szCs w:val="20"/>
          <w:lang w:val="fr-FR"/>
        </w:rPr>
        <w:t>et</w:t>
      </w:r>
      <w:r w:rsidRPr="00A24BD4">
        <w:rPr>
          <w:rFonts w:cs="Arial"/>
          <w:i/>
          <w:szCs w:val="20"/>
          <w:lang w:val="fr-FR"/>
        </w:rPr>
        <w:t xml:space="preserve"> dépasser ainsi le seuil de 4 000</w:t>
      </w:r>
      <w:r w:rsidR="0096011A">
        <w:rPr>
          <w:rFonts w:cs="Arial"/>
          <w:i/>
          <w:szCs w:val="20"/>
          <w:lang w:val="fr-FR"/>
        </w:rPr>
        <w:t xml:space="preserve"> collaborateurs</w:t>
      </w:r>
      <w:r w:rsidRPr="00A24BD4">
        <w:rPr>
          <w:rFonts w:cs="Arial"/>
          <w:i/>
          <w:szCs w:val="20"/>
          <w:lang w:val="fr-FR"/>
        </w:rPr>
        <w:t>. »</w:t>
      </w:r>
    </w:p>
    <w:p w:rsidR="007B3CA6" w:rsidRDefault="007B3CA6" w:rsidP="00886389">
      <w:pPr>
        <w:tabs>
          <w:tab w:val="left" w:pos="7797"/>
        </w:tabs>
        <w:ind w:right="1693"/>
        <w:jc w:val="both"/>
        <w:rPr>
          <w:rFonts w:cs="Arial"/>
          <w:b/>
          <w:szCs w:val="20"/>
          <w:lang w:val="fr-FR"/>
        </w:rPr>
      </w:pPr>
    </w:p>
    <w:p w:rsidR="00F126D9" w:rsidRPr="00A24BD4" w:rsidRDefault="001B7B16" w:rsidP="00886389">
      <w:pPr>
        <w:tabs>
          <w:tab w:val="left" w:pos="7797"/>
        </w:tabs>
        <w:ind w:right="1693"/>
        <w:jc w:val="both"/>
        <w:rPr>
          <w:rFonts w:cs="Arial"/>
          <w:b/>
          <w:szCs w:val="20"/>
          <w:lang w:val="fr-FR"/>
        </w:rPr>
      </w:pPr>
      <w:r w:rsidRPr="00A24BD4">
        <w:rPr>
          <w:rFonts w:cs="Arial"/>
          <w:b/>
          <w:szCs w:val="20"/>
          <w:lang w:val="fr-FR"/>
        </w:rPr>
        <w:t>Concevoir un commerce en ligne profitable</w:t>
      </w:r>
    </w:p>
    <w:p w:rsidR="00514468" w:rsidRPr="00A24BD4" w:rsidRDefault="00514468" w:rsidP="00886389">
      <w:pPr>
        <w:tabs>
          <w:tab w:val="left" w:pos="7797"/>
        </w:tabs>
        <w:ind w:right="1693"/>
        <w:jc w:val="both"/>
        <w:rPr>
          <w:rFonts w:cs="Arial"/>
          <w:szCs w:val="20"/>
          <w:lang w:val="fr-FR"/>
        </w:rPr>
      </w:pPr>
    </w:p>
    <w:p w:rsidR="005835A0" w:rsidRPr="00A24BD4" w:rsidRDefault="002E5FC4" w:rsidP="00886389">
      <w:pPr>
        <w:tabs>
          <w:tab w:val="left" w:pos="7797"/>
        </w:tabs>
        <w:ind w:right="1693"/>
        <w:jc w:val="both"/>
        <w:rPr>
          <w:rFonts w:cs="Arial"/>
          <w:szCs w:val="20"/>
          <w:lang w:val="fr-FR"/>
        </w:rPr>
      </w:pPr>
      <w:r w:rsidRPr="00A24BD4">
        <w:rPr>
          <w:rFonts w:cs="Arial"/>
          <w:szCs w:val="20"/>
          <w:lang w:val="fr-FR"/>
        </w:rPr>
        <w:t>Le commerce en ligne est en pleine croissance dans pratiquement tous les secteurs</w:t>
      </w:r>
      <w:r w:rsidR="0096011A">
        <w:rPr>
          <w:rFonts w:cs="Arial"/>
          <w:szCs w:val="20"/>
          <w:lang w:val="fr-FR"/>
        </w:rPr>
        <w:t xml:space="preserve"> : </w:t>
      </w:r>
      <w:r w:rsidRPr="00A24BD4">
        <w:rPr>
          <w:rFonts w:cs="Arial"/>
          <w:szCs w:val="20"/>
          <w:lang w:val="fr-FR"/>
        </w:rPr>
        <w:t xml:space="preserve"> mode</w:t>
      </w:r>
      <w:r w:rsidR="0096011A">
        <w:rPr>
          <w:rFonts w:cs="Arial"/>
          <w:szCs w:val="20"/>
          <w:lang w:val="fr-FR"/>
        </w:rPr>
        <w:t xml:space="preserve">, produits </w:t>
      </w:r>
      <w:r w:rsidR="0096011A" w:rsidRPr="009E4D40">
        <w:rPr>
          <w:rFonts w:cs="Arial"/>
          <w:szCs w:val="20"/>
          <w:lang w:val="fr-FR"/>
        </w:rPr>
        <w:t>alimentaires</w:t>
      </w:r>
      <w:r w:rsidR="0096011A">
        <w:rPr>
          <w:rFonts w:cs="Arial"/>
          <w:szCs w:val="20"/>
          <w:lang w:val="fr-FR"/>
        </w:rPr>
        <w:t>, biens industriels et de consommation</w:t>
      </w:r>
      <w:r w:rsidRPr="00A24BD4">
        <w:rPr>
          <w:rFonts w:cs="Arial"/>
          <w:szCs w:val="20"/>
          <w:lang w:val="fr-FR"/>
        </w:rPr>
        <w:t xml:space="preserve">. TGW propose des solutions sur mesure et assiste ses clients dans la réalisation d'une structure </w:t>
      </w:r>
      <w:r w:rsidR="00BC7061" w:rsidRPr="00142A0F">
        <w:rPr>
          <w:rFonts w:cs="Arial"/>
          <w:szCs w:val="20"/>
          <w:lang w:val="fr-FR"/>
        </w:rPr>
        <w:t>profitable</w:t>
      </w:r>
      <w:r w:rsidR="00BC7061" w:rsidRPr="00BC7061">
        <w:rPr>
          <w:rFonts w:cs="Arial"/>
          <w:szCs w:val="20"/>
          <w:lang w:val="fr-FR"/>
        </w:rPr>
        <w:t xml:space="preserve"> </w:t>
      </w:r>
      <w:r w:rsidRPr="00A24BD4">
        <w:rPr>
          <w:rFonts w:cs="Arial"/>
          <w:szCs w:val="20"/>
          <w:lang w:val="fr-FR"/>
        </w:rPr>
        <w:t xml:space="preserve">de commerce en ligne. </w:t>
      </w:r>
    </w:p>
    <w:p w:rsidR="00A459AA" w:rsidRPr="00A24BD4" w:rsidRDefault="005835A0" w:rsidP="00886389">
      <w:pPr>
        <w:tabs>
          <w:tab w:val="left" w:pos="7797"/>
        </w:tabs>
        <w:ind w:right="1693"/>
        <w:jc w:val="both"/>
        <w:rPr>
          <w:rFonts w:cs="Arial"/>
          <w:szCs w:val="20"/>
          <w:lang w:val="fr-FR"/>
        </w:rPr>
      </w:pPr>
      <w:r w:rsidRPr="00A24BD4">
        <w:rPr>
          <w:rFonts w:cs="Arial"/>
          <w:szCs w:val="20"/>
          <w:lang w:val="fr-FR"/>
        </w:rPr>
        <w:br/>
        <w:t>Avec une augmentation de 350 millions de commandes en Allemagne, en France, en Grande-Bretagne, en Italie et aux USA, l'e</w:t>
      </w:r>
      <w:r w:rsidR="0096011A">
        <w:rPr>
          <w:rFonts w:cs="Arial"/>
          <w:szCs w:val="20"/>
          <w:lang w:val="fr-FR"/>
        </w:rPr>
        <w:t>-</w:t>
      </w:r>
      <w:r w:rsidRPr="00A24BD4">
        <w:rPr>
          <w:rFonts w:cs="Arial"/>
          <w:szCs w:val="20"/>
          <w:lang w:val="fr-FR"/>
        </w:rPr>
        <w:t>Grocery, c'est à dire l</w:t>
      </w:r>
      <w:r w:rsidR="00BC7061">
        <w:rPr>
          <w:rFonts w:cs="Arial"/>
          <w:szCs w:val="20"/>
          <w:lang w:val="fr-FR"/>
        </w:rPr>
        <w:t xml:space="preserve">es supermarchés </w:t>
      </w:r>
      <w:r w:rsidRPr="00A24BD4">
        <w:rPr>
          <w:rFonts w:cs="Arial"/>
          <w:szCs w:val="20"/>
          <w:lang w:val="fr-FR"/>
        </w:rPr>
        <w:t>en ligne, a, cette année, réalisé un chiffre d'affaire de 31 milliards d'euros. Selon la société de conseil aux entreprises Bain &amp; Company, jusqu'à 45 pourcents de cette augmentation resteront acquis même après la fin de l'épidémie liée au coronavirus. Au niveau mondial, le potentiel de</w:t>
      </w:r>
      <w:r w:rsidR="00BC7061">
        <w:rPr>
          <w:rFonts w:cs="Arial"/>
          <w:szCs w:val="20"/>
          <w:lang w:val="fr-FR"/>
        </w:rPr>
        <w:t xml:space="preserve"> distribution alimentaire</w:t>
      </w:r>
      <w:r w:rsidRPr="00A24BD4">
        <w:rPr>
          <w:rFonts w:cs="Arial"/>
          <w:szCs w:val="20"/>
          <w:lang w:val="fr-FR"/>
        </w:rPr>
        <w:t xml:space="preserve"> en ligne est énorme.</w:t>
      </w:r>
    </w:p>
    <w:p w:rsidR="00A459AA" w:rsidRPr="00A24BD4" w:rsidRDefault="00A459AA" w:rsidP="00886389">
      <w:pPr>
        <w:tabs>
          <w:tab w:val="left" w:pos="7797"/>
        </w:tabs>
        <w:ind w:right="1693"/>
        <w:jc w:val="both"/>
        <w:rPr>
          <w:rFonts w:cs="Arial"/>
          <w:szCs w:val="20"/>
          <w:lang w:val="fr-FR"/>
        </w:rPr>
      </w:pPr>
    </w:p>
    <w:p w:rsidR="001B7B16" w:rsidRPr="00A24BD4" w:rsidRDefault="001B7B16" w:rsidP="00886389">
      <w:pPr>
        <w:tabs>
          <w:tab w:val="left" w:pos="7797"/>
        </w:tabs>
        <w:ind w:right="1693"/>
        <w:jc w:val="both"/>
        <w:rPr>
          <w:rFonts w:cs="Arial"/>
          <w:b/>
          <w:szCs w:val="20"/>
          <w:lang w:val="fr-FR"/>
        </w:rPr>
      </w:pPr>
      <w:r w:rsidRPr="00A24BD4">
        <w:rPr>
          <w:rFonts w:cs="Arial"/>
          <w:b/>
          <w:szCs w:val="20"/>
          <w:lang w:val="fr-FR"/>
        </w:rPr>
        <w:t>L</w:t>
      </w:r>
      <w:r w:rsidR="0096011A">
        <w:rPr>
          <w:rFonts w:cs="Arial"/>
          <w:b/>
          <w:szCs w:val="20"/>
          <w:lang w:val="fr-FR"/>
        </w:rPr>
        <w:t xml:space="preserve">e </w:t>
      </w:r>
      <w:r w:rsidR="00AD3CCE">
        <w:rPr>
          <w:rFonts w:cs="Arial"/>
          <w:b/>
          <w:szCs w:val="20"/>
          <w:lang w:val="fr-FR"/>
        </w:rPr>
        <w:t xml:space="preserve">supermarché </w:t>
      </w:r>
      <w:r w:rsidRPr="00A24BD4">
        <w:rPr>
          <w:rFonts w:cs="Arial"/>
          <w:b/>
          <w:szCs w:val="20"/>
          <w:lang w:val="fr-FR"/>
        </w:rPr>
        <w:t xml:space="preserve">en ligne Picnic </w:t>
      </w:r>
      <w:r w:rsidR="00AD3CCE">
        <w:rPr>
          <w:rFonts w:cs="Arial"/>
          <w:b/>
          <w:szCs w:val="20"/>
          <w:lang w:val="fr-FR"/>
        </w:rPr>
        <w:t>confie son projet d’</w:t>
      </w:r>
      <w:r w:rsidRPr="00A24BD4">
        <w:rPr>
          <w:rFonts w:cs="Arial"/>
          <w:b/>
          <w:szCs w:val="20"/>
          <w:lang w:val="fr-FR"/>
        </w:rPr>
        <w:t>automatisation</w:t>
      </w:r>
      <w:r w:rsidR="00AD3CCE">
        <w:rPr>
          <w:rFonts w:cs="Arial"/>
          <w:b/>
          <w:szCs w:val="20"/>
          <w:lang w:val="fr-FR"/>
        </w:rPr>
        <w:t xml:space="preserve"> à TGW</w:t>
      </w:r>
    </w:p>
    <w:p w:rsidR="001B7B16" w:rsidRPr="00A24BD4" w:rsidRDefault="001B7B16" w:rsidP="00886389">
      <w:pPr>
        <w:tabs>
          <w:tab w:val="left" w:pos="7797"/>
        </w:tabs>
        <w:ind w:right="1693"/>
        <w:jc w:val="both"/>
        <w:rPr>
          <w:rFonts w:cs="Arial"/>
          <w:szCs w:val="20"/>
          <w:lang w:val="fr-FR"/>
        </w:rPr>
      </w:pPr>
    </w:p>
    <w:p w:rsidR="00F126D9" w:rsidRPr="00A24BD4" w:rsidRDefault="00AD3CCE" w:rsidP="00886389">
      <w:pPr>
        <w:tabs>
          <w:tab w:val="left" w:pos="7797"/>
        </w:tabs>
        <w:ind w:right="1693"/>
        <w:jc w:val="both"/>
        <w:rPr>
          <w:rFonts w:cs="Arial"/>
          <w:szCs w:val="20"/>
          <w:lang w:val="fr-FR"/>
        </w:rPr>
      </w:pPr>
      <w:r>
        <w:rPr>
          <w:rFonts w:cs="Arial"/>
          <w:szCs w:val="20"/>
          <w:lang w:val="fr-FR"/>
        </w:rPr>
        <w:t>Récemment</w:t>
      </w:r>
      <w:r w:rsidR="00AA3365" w:rsidRPr="00A24BD4">
        <w:rPr>
          <w:rFonts w:cs="Arial"/>
          <w:szCs w:val="20"/>
          <w:lang w:val="fr-FR"/>
        </w:rPr>
        <w:t xml:space="preserve">, </w:t>
      </w:r>
      <w:r>
        <w:rPr>
          <w:rFonts w:cs="Arial"/>
          <w:b/>
          <w:szCs w:val="20"/>
          <w:lang w:val="fr-FR"/>
        </w:rPr>
        <w:t xml:space="preserve">le supermarché </w:t>
      </w:r>
      <w:r w:rsidRPr="009E4D40">
        <w:rPr>
          <w:rFonts w:cs="Arial"/>
          <w:b/>
          <w:szCs w:val="20"/>
          <w:lang w:val="fr-FR"/>
        </w:rPr>
        <w:t xml:space="preserve">en ligne </w:t>
      </w:r>
      <w:r w:rsidR="00AA3365" w:rsidRPr="00A24BD4">
        <w:rPr>
          <w:rFonts w:cs="Arial"/>
          <w:szCs w:val="20"/>
          <w:lang w:val="fr-FR"/>
        </w:rPr>
        <w:t xml:space="preserve">hollandais </w:t>
      </w:r>
      <w:r w:rsidRPr="00BD4AB8">
        <w:rPr>
          <w:rFonts w:cs="Arial"/>
          <w:szCs w:val="20"/>
          <w:lang w:val="fr-FR"/>
        </w:rPr>
        <w:t xml:space="preserve">Picnic </w:t>
      </w:r>
      <w:r w:rsidR="00AA3365" w:rsidRPr="00A24BD4">
        <w:rPr>
          <w:rFonts w:cs="Arial"/>
          <w:szCs w:val="20"/>
          <w:lang w:val="fr-FR"/>
        </w:rPr>
        <w:t xml:space="preserve">a confié à TGW la mise en place </w:t>
      </w:r>
      <w:r w:rsidRPr="00C37E86">
        <w:rPr>
          <w:rFonts w:cs="Arial"/>
          <w:szCs w:val="20"/>
          <w:lang w:val="fr-FR"/>
        </w:rPr>
        <w:t>d'un centre de distribution automatisé</w:t>
      </w:r>
      <w:r w:rsidRPr="00AD3CCE">
        <w:rPr>
          <w:rFonts w:cs="Arial"/>
          <w:szCs w:val="20"/>
          <w:lang w:val="fr-FR"/>
        </w:rPr>
        <w:t xml:space="preserve"> </w:t>
      </w:r>
      <w:r w:rsidR="00AA3365" w:rsidRPr="00A24BD4">
        <w:rPr>
          <w:rFonts w:cs="Arial"/>
          <w:szCs w:val="20"/>
          <w:lang w:val="fr-FR"/>
        </w:rPr>
        <w:t xml:space="preserve">à Utrech. </w:t>
      </w:r>
      <w:r w:rsidR="00AA3365" w:rsidRPr="00A24BD4">
        <w:rPr>
          <w:lang w:val="fr-FR"/>
        </w:rPr>
        <w:t>Fondée en 2015, l'entreprise est l'acteur du secteur présentant la plus forte croissance.</w:t>
      </w:r>
      <w:r w:rsidR="00AA3365" w:rsidRPr="00A24BD4">
        <w:rPr>
          <w:rFonts w:cs="Arial"/>
          <w:szCs w:val="20"/>
          <w:lang w:val="fr-FR"/>
        </w:rPr>
        <w:t xml:space="preserve"> </w:t>
      </w:r>
      <w:r>
        <w:rPr>
          <w:rFonts w:cs="Arial"/>
          <w:szCs w:val="20"/>
          <w:lang w:val="fr-FR"/>
        </w:rPr>
        <w:t>L</w:t>
      </w:r>
      <w:r w:rsidR="00AA3365" w:rsidRPr="00A24BD4">
        <w:rPr>
          <w:rFonts w:cs="Arial"/>
          <w:szCs w:val="20"/>
          <w:lang w:val="fr-FR"/>
        </w:rPr>
        <w:t xml:space="preserve">es clients peuvent aisément </w:t>
      </w:r>
      <w:r>
        <w:rPr>
          <w:rFonts w:cs="Arial"/>
          <w:szCs w:val="20"/>
          <w:lang w:val="fr-FR"/>
        </w:rPr>
        <w:t xml:space="preserve">passer </w:t>
      </w:r>
      <w:r w:rsidR="00AA3365" w:rsidRPr="00A24BD4">
        <w:rPr>
          <w:rFonts w:cs="Arial"/>
          <w:szCs w:val="20"/>
          <w:lang w:val="fr-FR"/>
        </w:rPr>
        <w:t xml:space="preserve">commande </w:t>
      </w:r>
      <w:r>
        <w:rPr>
          <w:rFonts w:cs="Arial"/>
          <w:szCs w:val="20"/>
          <w:lang w:val="fr-FR"/>
        </w:rPr>
        <w:t xml:space="preserve">via </w:t>
      </w:r>
      <w:r w:rsidR="00AA3365" w:rsidRPr="00A24BD4">
        <w:rPr>
          <w:rFonts w:cs="Arial"/>
          <w:szCs w:val="20"/>
          <w:lang w:val="fr-FR"/>
        </w:rPr>
        <w:t xml:space="preserve">l'application </w:t>
      </w:r>
      <w:r>
        <w:rPr>
          <w:rFonts w:cs="Arial"/>
          <w:szCs w:val="20"/>
          <w:lang w:val="fr-FR"/>
        </w:rPr>
        <w:t>j</w:t>
      </w:r>
      <w:r w:rsidRPr="009D10BF">
        <w:rPr>
          <w:rFonts w:cs="Arial"/>
          <w:szCs w:val="20"/>
          <w:lang w:val="fr-FR"/>
        </w:rPr>
        <w:t>usqu'à 22 heures</w:t>
      </w:r>
      <w:r>
        <w:rPr>
          <w:rFonts w:cs="Arial"/>
          <w:szCs w:val="20"/>
          <w:lang w:val="fr-FR"/>
        </w:rPr>
        <w:t xml:space="preserve"> et</w:t>
      </w:r>
      <w:r w:rsidRPr="00A24BD4">
        <w:rPr>
          <w:rFonts w:cs="Arial"/>
          <w:szCs w:val="20"/>
          <w:lang w:val="fr-FR"/>
        </w:rPr>
        <w:t xml:space="preserve"> </w:t>
      </w:r>
      <w:r w:rsidR="00AA3365" w:rsidRPr="00A24BD4">
        <w:rPr>
          <w:rFonts w:cs="Arial"/>
          <w:szCs w:val="20"/>
          <w:lang w:val="fr-FR"/>
        </w:rPr>
        <w:t>être livrés le lendemain par véhicules électriques non polluants. Dans son nouveau centre de distri</w:t>
      </w:r>
      <w:r w:rsidR="00630403">
        <w:rPr>
          <w:rFonts w:cs="Arial"/>
          <w:szCs w:val="20"/>
          <w:lang w:val="fr-FR"/>
        </w:rPr>
        <w:t>bution automatisé, Picnic peut</w:t>
      </w:r>
      <w:r w:rsidR="00AA3365" w:rsidRPr="00A24BD4">
        <w:rPr>
          <w:rFonts w:cs="Arial"/>
          <w:szCs w:val="20"/>
          <w:lang w:val="fr-FR"/>
        </w:rPr>
        <w:t xml:space="preserve"> préparer </w:t>
      </w:r>
      <w:r>
        <w:rPr>
          <w:rFonts w:cs="Arial"/>
          <w:szCs w:val="20"/>
          <w:lang w:val="fr-FR"/>
        </w:rPr>
        <w:t>les commandes pour livrer jusqu</w:t>
      </w:r>
      <w:r w:rsidR="00AA3365" w:rsidRPr="00A24BD4">
        <w:rPr>
          <w:rFonts w:cs="Arial"/>
          <w:szCs w:val="20"/>
          <w:lang w:val="fr-FR"/>
        </w:rPr>
        <w:t xml:space="preserve">'à 150 000 foyers </w:t>
      </w:r>
      <w:r w:rsidR="00BC7061" w:rsidRPr="00DE33DE">
        <w:rPr>
          <w:rFonts w:cs="Arial"/>
          <w:szCs w:val="20"/>
          <w:lang w:val="fr-FR"/>
        </w:rPr>
        <w:t>par semaine</w:t>
      </w:r>
      <w:r w:rsidR="00BC7061" w:rsidRPr="00BC7061">
        <w:rPr>
          <w:rFonts w:cs="Arial"/>
          <w:szCs w:val="20"/>
          <w:lang w:val="fr-FR"/>
        </w:rPr>
        <w:t xml:space="preserve"> </w:t>
      </w:r>
      <w:r w:rsidR="00AA3365" w:rsidRPr="00A24BD4">
        <w:rPr>
          <w:rFonts w:cs="Arial"/>
          <w:szCs w:val="20"/>
          <w:lang w:val="fr-FR"/>
        </w:rPr>
        <w:t xml:space="preserve">et </w:t>
      </w:r>
      <w:r>
        <w:rPr>
          <w:rFonts w:cs="Arial"/>
          <w:szCs w:val="20"/>
          <w:lang w:val="fr-FR"/>
        </w:rPr>
        <w:t>bénéficie</w:t>
      </w:r>
      <w:r w:rsidRPr="00A24BD4">
        <w:rPr>
          <w:rFonts w:cs="Arial"/>
          <w:szCs w:val="20"/>
          <w:lang w:val="fr-FR"/>
        </w:rPr>
        <w:t xml:space="preserve"> </w:t>
      </w:r>
      <w:r w:rsidR="00AA3365" w:rsidRPr="00A24BD4">
        <w:rPr>
          <w:rFonts w:cs="Arial"/>
          <w:szCs w:val="20"/>
          <w:lang w:val="fr-FR"/>
        </w:rPr>
        <w:t xml:space="preserve">ainsi, avec la technologie d'avenir de TGW, </w:t>
      </w:r>
      <w:r>
        <w:rPr>
          <w:rFonts w:cs="Arial"/>
          <w:szCs w:val="20"/>
          <w:lang w:val="fr-FR"/>
        </w:rPr>
        <w:t xml:space="preserve">des outils pour </w:t>
      </w:r>
      <w:r w:rsidR="0089373B">
        <w:rPr>
          <w:rFonts w:cs="Arial"/>
          <w:szCs w:val="20"/>
          <w:lang w:val="fr-FR"/>
        </w:rPr>
        <w:t>répondre à</w:t>
      </w:r>
      <w:r w:rsidR="00AA3365" w:rsidRPr="00A24BD4">
        <w:rPr>
          <w:rFonts w:cs="Arial"/>
          <w:szCs w:val="20"/>
          <w:lang w:val="fr-FR"/>
        </w:rPr>
        <w:t xml:space="preserve"> </w:t>
      </w:r>
      <w:r w:rsidR="00BC7061">
        <w:rPr>
          <w:rFonts w:cs="Arial"/>
          <w:szCs w:val="20"/>
          <w:lang w:val="fr-FR"/>
        </w:rPr>
        <w:t xml:space="preserve">sa </w:t>
      </w:r>
      <w:r w:rsidR="00AA3365" w:rsidRPr="00A24BD4">
        <w:rPr>
          <w:rFonts w:cs="Arial"/>
          <w:szCs w:val="20"/>
          <w:lang w:val="fr-FR"/>
        </w:rPr>
        <w:t>croissance internationale.</w:t>
      </w:r>
    </w:p>
    <w:p w:rsidR="00E71BE3" w:rsidRPr="00A24BD4" w:rsidRDefault="00E71BE3" w:rsidP="00886389">
      <w:pPr>
        <w:tabs>
          <w:tab w:val="left" w:pos="7797"/>
        </w:tabs>
        <w:ind w:right="1693"/>
        <w:jc w:val="both"/>
        <w:rPr>
          <w:rFonts w:cs="Arial"/>
          <w:szCs w:val="20"/>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A459AA" w:rsidRPr="00A24BD4" w:rsidRDefault="00A459AA" w:rsidP="009A6B05">
      <w:pPr>
        <w:pStyle w:val="StandardWeb"/>
        <w:shd w:val="clear" w:color="auto" w:fill="FFFFFF"/>
        <w:spacing w:before="0" w:beforeAutospacing="0" w:after="0" w:afterAutospacing="0" w:line="360" w:lineRule="auto"/>
        <w:ind w:right="1837"/>
        <w:rPr>
          <w:rFonts w:cs="Arial"/>
          <w:i/>
          <w:sz w:val="18"/>
          <w:szCs w:val="18"/>
          <w:lang w:val="fr-FR"/>
        </w:rPr>
      </w:pPr>
    </w:p>
    <w:p w:rsidR="00F1062C" w:rsidRPr="00A24BD4" w:rsidRDefault="00F1062C" w:rsidP="009A6B05">
      <w:pPr>
        <w:pStyle w:val="StandardWeb"/>
        <w:shd w:val="clear" w:color="auto" w:fill="FFFFFF"/>
        <w:spacing w:before="0" w:beforeAutospacing="0" w:after="0" w:afterAutospacing="0" w:line="360" w:lineRule="auto"/>
        <w:ind w:right="1837"/>
        <w:rPr>
          <w:lang w:val="fr-FR"/>
        </w:rPr>
      </w:pPr>
    </w:p>
    <w:p w:rsidR="00594926" w:rsidRPr="00A24BD4" w:rsidRDefault="00594926" w:rsidP="009A6B05">
      <w:pPr>
        <w:pStyle w:val="StandardWeb"/>
        <w:shd w:val="clear" w:color="auto" w:fill="FFFFFF"/>
        <w:spacing w:before="0" w:beforeAutospacing="0" w:after="0" w:afterAutospacing="0" w:line="360" w:lineRule="auto"/>
        <w:ind w:right="1837"/>
        <w:rPr>
          <w:lang w:val="fr-FR"/>
        </w:rPr>
      </w:pPr>
    </w:p>
    <w:p w:rsidR="001856BA" w:rsidRPr="00A24BD4" w:rsidRDefault="001856BA" w:rsidP="009A6B05">
      <w:pPr>
        <w:pStyle w:val="StandardWeb"/>
        <w:shd w:val="clear" w:color="auto" w:fill="FFFFFF"/>
        <w:spacing w:before="0" w:beforeAutospacing="0" w:after="0" w:afterAutospacing="0" w:line="360" w:lineRule="auto"/>
        <w:ind w:right="1837"/>
        <w:rPr>
          <w:lang w:val="fr-FR"/>
        </w:rPr>
      </w:pPr>
    </w:p>
    <w:p w:rsidR="00514468" w:rsidRPr="00A24BD4" w:rsidRDefault="009E5E60"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hyperlink r:id="rId8" w:history="1">
        <w:r w:rsidR="00443F10" w:rsidRPr="00A24BD4">
          <w:rPr>
            <w:rStyle w:val="Hyperlink"/>
            <w:rFonts w:ascii="Arial" w:hAnsi="Arial" w:cs="Arial"/>
            <w:sz w:val="20"/>
            <w:szCs w:val="20"/>
            <w:lang w:val="fr-FR"/>
          </w:rPr>
          <w:t>www.tgw-group.com</w:t>
        </w:r>
      </w:hyperlink>
      <w:r w:rsidR="00443F10" w:rsidRPr="00A24BD4">
        <w:rPr>
          <w:rFonts w:ascii="Arial" w:hAnsi="Arial" w:cs="Arial"/>
          <w:sz w:val="20"/>
          <w:szCs w:val="20"/>
          <w:lang w:val="fr-FR"/>
        </w:rPr>
        <w:br/>
      </w:r>
    </w:p>
    <w:p w:rsidR="000F039C" w:rsidRPr="00E414A1"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E414A1">
        <w:rPr>
          <w:rFonts w:ascii="Arial" w:hAnsi="Arial" w:cs="Arial"/>
          <w:b/>
          <w:sz w:val="20"/>
          <w:szCs w:val="20"/>
          <w:lang w:val="fr-FR"/>
        </w:rPr>
        <w:t>À propos de TGW Logistics Group :</w:t>
      </w:r>
    </w:p>
    <w:p w:rsidR="000F039C" w:rsidRPr="00A24BD4" w:rsidRDefault="000F039C" w:rsidP="000F039C">
      <w:pPr>
        <w:spacing w:line="240" w:lineRule="auto"/>
        <w:ind w:right="1837"/>
        <w:rPr>
          <w:rFonts w:cs="Arial"/>
          <w:szCs w:val="20"/>
          <w:lang w:val="fr-FR"/>
        </w:rPr>
      </w:pPr>
      <w:r w:rsidRPr="00A24BD4">
        <w:rPr>
          <w:rFonts w:cs="Arial"/>
          <w:szCs w:val="20"/>
          <w:lang w:val="fr-FR"/>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A24BD4" w:rsidRDefault="000F039C" w:rsidP="000F039C">
      <w:pPr>
        <w:tabs>
          <w:tab w:val="left" w:pos="1697"/>
        </w:tabs>
        <w:spacing w:line="240" w:lineRule="auto"/>
        <w:ind w:right="1837"/>
        <w:rPr>
          <w:rFonts w:cs="Arial"/>
          <w:szCs w:val="20"/>
          <w:lang w:val="fr-FR"/>
        </w:rPr>
      </w:pPr>
    </w:p>
    <w:p w:rsidR="000F039C" w:rsidRPr="00A24BD4" w:rsidRDefault="000F039C" w:rsidP="000F039C">
      <w:pPr>
        <w:spacing w:line="240" w:lineRule="auto"/>
        <w:ind w:right="1837"/>
        <w:rPr>
          <w:rFonts w:cs="Arial"/>
          <w:szCs w:val="20"/>
          <w:lang w:val="fr-FR"/>
        </w:rPr>
      </w:pPr>
      <w:r w:rsidRPr="00A24BD4">
        <w:rPr>
          <w:rFonts w:cs="Arial"/>
          <w:szCs w:val="20"/>
          <w:lang w:val="fr-FR"/>
        </w:rPr>
        <w:t>TGW Logistics Group a des filiales en Europe, en Chine et aux États-Unis et compte plus de 3 700 employés répartis dans le monde entier. Au cours de l'exercice 2019/20, l'entreprise a réalisé un chiffre d'affaires total de 835,8 millions d'euros.</w:t>
      </w:r>
    </w:p>
    <w:p w:rsidR="000F039C" w:rsidRPr="00A24BD4" w:rsidRDefault="000F039C" w:rsidP="000F039C">
      <w:pPr>
        <w:spacing w:line="240" w:lineRule="auto"/>
        <w:ind w:right="1837"/>
        <w:rPr>
          <w:rFonts w:cs="Arial"/>
          <w:szCs w:val="20"/>
          <w:lang w:val="fr-FR"/>
        </w:rPr>
      </w:pPr>
    </w:p>
    <w:p w:rsidR="000F039C" w:rsidRPr="00A24BD4" w:rsidRDefault="000F039C" w:rsidP="000F039C">
      <w:pPr>
        <w:spacing w:line="240" w:lineRule="auto"/>
        <w:ind w:right="1837"/>
        <w:rPr>
          <w:rFonts w:cs="Arial"/>
          <w:szCs w:val="20"/>
          <w:lang w:val="fr-FR"/>
        </w:rPr>
      </w:pPr>
    </w:p>
    <w:p w:rsidR="000F039C" w:rsidRPr="00A24BD4" w:rsidRDefault="000F039C" w:rsidP="000F039C">
      <w:pPr>
        <w:spacing w:line="240" w:lineRule="auto"/>
        <w:ind w:right="1837"/>
        <w:rPr>
          <w:rFonts w:cs="Arial"/>
          <w:szCs w:val="20"/>
          <w:lang w:val="fr-FR"/>
        </w:rPr>
      </w:pPr>
    </w:p>
    <w:p w:rsidR="000F039C" w:rsidRPr="00A24BD4" w:rsidRDefault="000F039C" w:rsidP="000F039C">
      <w:pPr>
        <w:spacing w:line="240" w:lineRule="auto"/>
        <w:ind w:right="1837"/>
        <w:rPr>
          <w:rFonts w:cs="Arial"/>
          <w:szCs w:val="20"/>
          <w:lang w:val="fr-FR"/>
        </w:rPr>
      </w:pPr>
    </w:p>
    <w:p w:rsidR="000F039C" w:rsidRPr="00A24BD4" w:rsidRDefault="000F039C" w:rsidP="000F039C">
      <w:pPr>
        <w:spacing w:line="240" w:lineRule="auto"/>
        <w:ind w:right="1837"/>
        <w:rPr>
          <w:rFonts w:cs="Arial"/>
          <w:b/>
          <w:szCs w:val="20"/>
          <w:lang w:val="fr-FR"/>
        </w:rPr>
      </w:pPr>
      <w:r w:rsidRPr="00A24BD4">
        <w:rPr>
          <w:rFonts w:cs="Arial"/>
          <w:b/>
          <w:szCs w:val="20"/>
          <w:lang w:val="fr-FR"/>
        </w:rPr>
        <w:t>Images</w:t>
      </w:r>
    </w:p>
    <w:p w:rsidR="000F039C" w:rsidRPr="00A24BD4" w:rsidRDefault="000F039C" w:rsidP="000F039C">
      <w:pPr>
        <w:spacing w:line="240" w:lineRule="auto"/>
        <w:ind w:right="1837"/>
        <w:rPr>
          <w:rFonts w:cs="Arial"/>
          <w:szCs w:val="20"/>
          <w:lang w:val="fr-FR"/>
        </w:rPr>
      </w:pPr>
      <w:r w:rsidRPr="00A24BD4">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A24BD4" w:rsidRDefault="000F039C" w:rsidP="000F039C">
      <w:pPr>
        <w:spacing w:line="240" w:lineRule="auto"/>
        <w:ind w:right="1837"/>
        <w:rPr>
          <w:rFonts w:cs="Arial"/>
          <w:szCs w:val="20"/>
          <w:lang w:val="fr-FR"/>
        </w:rPr>
      </w:pPr>
    </w:p>
    <w:p w:rsidR="000F039C" w:rsidRPr="00A24BD4" w:rsidRDefault="000F039C" w:rsidP="000F039C">
      <w:pPr>
        <w:spacing w:line="240" w:lineRule="auto"/>
        <w:ind w:right="1837"/>
        <w:rPr>
          <w:rFonts w:cs="Arial"/>
          <w:szCs w:val="20"/>
          <w:lang w:val="fr-FR"/>
        </w:rPr>
      </w:pPr>
    </w:p>
    <w:p w:rsidR="000F039C" w:rsidRPr="00A24BD4" w:rsidRDefault="00911C81" w:rsidP="000F039C">
      <w:pPr>
        <w:spacing w:line="240" w:lineRule="auto"/>
        <w:ind w:right="1837"/>
        <w:rPr>
          <w:rFonts w:cs="Arial"/>
          <w:b/>
          <w:szCs w:val="20"/>
          <w:lang w:val="fr-FR"/>
        </w:rPr>
      </w:pPr>
      <w:r w:rsidRPr="00A24BD4">
        <w:rPr>
          <w:rFonts w:cs="Arial"/>
          <w:b/>
          <w:szCs w:val="20"/>
          <w:lang w:val="fr-FR"/>
        </w:rPr>
        <w:t>Contact</w:t>
      </w:r>
      <w:r w:rsidR="000F039C" w:rsidRPr="00A24BD4">
        <w:rPr>
          <w:rFonts w:cs="Arial"/>
          <w:b/>
          <w:szCs w:val="20"/>
          <w:lang w:val="fr-FR"/>
        </w:rPr>
        <w:t>:</w:t>
      </w:r>
    </w:p>
    <w:p w:rsidR="000F039C" w:rsidRPr="00A24BD4" w:rsidRDefault="000F039C" w:rsidP="000F039C">
      <w:pPr>
        <w:spacing w:line="240" w:lineRule="auto"/>
        <w:ind w:right="1837"/>
        <w:rPr>
          <w:rFonts w:cs="Arial"/>
          <w:szCs w:val="20"/>
          <w:lang w:val="fr-FR"/>
        </w:rPr>
      </w:pPr>
      <w:r w:rsidRPr="00A24BD4">
        <w:rPr>
          <w:rFonts w:cs="Arial"/>
          <w:szCs w:val="20"/>
          <w:lang w:val="fr-FR"/>
        </w:rPr>
        <w:t>TGW Logistics Group GmbH</w:t>
      </w:r>
    </w:p>
    <w:p w:rsidR="000F039C" w:rsidRPr="00A24BD4" w:rsidRDefault="000F039C" w:rsidP="000F039C">
      <w:pPr>
        <w:spacing w:line="240" w:lineRule="auto"/>
        <w:ind w:right="1837"/>
        <w:rPr>
          <w:rFonts w:cs="Arial"/>
          <w:szCs w:val="20"/>
          <w:lang w:val="fr-FR"/>
        </w:rPr>
      </w:pPr>
      <w:r w:rsidRPr="00A24BD4">
        <w:rPr>
          <w:rFonts w:eastAsiaTheme="minorEastAsia" w:cs="Arial"/>
          <w:noProof/>
          <w:szCs w:val="20"/>
          <w:lang w:val="fr-FR"/>
        </w:rPr>
        <w:t>A-4614 Marchtrenk</w:t>
      </w:r>
      <w:r w:rsidRPr="00A24BD4">
        <w:rPr>
          <w:rFonts w:cs="Arial"/>
          <w:szCs w:val="20"/>
          <w:lang w:val="fr-FR"/>
        </w:rPr>
        <w:t>, Ludwig Szinicz Straße 3</w:t>
      </w:r>
    </w:p>
    <w:p w:rsidR="000F039C" w:rsidRPr="00E414A1" w:rsidRDefault="000F039C" w:rsidP="000F039C">
      <w:pPr>
        <w:spacing w:line="240" w:lineRule="auto"/>
        <w:ind w:right="1837"/>
        <w:rPr>
          <w:rFonts w:cs="Arial"/>
          <w:szCs w:val="20"/>
          <w:lang w:val="fr-FR"/>
        </w:rPr>
      </w:pPr>
      <w:r w:rsidRPr="00E414A1">
        <w:rPr>
          <w:rFonts w:cs="Arial"/>
          <w:szCs w:val="20"/>
          <w:lang w:val="fr-FR"/>
        </w:rPr>
        <w:t>T : +43.(0)50.486-0</w:t>
      </w:r>
    </w:p>
    <w:p w:rsidR="000F039C" w:rsidRPr="00E414A1" w:rsidRDefault="000F039C" w:rsidP="000F039C">
      <w:pPr>
        <w:spacing w:line="240" w:lineRule="auto"/>
        <w:ind w:right="1837"/>
        <w:rPr>
          <w:rFonts w:cs="Arial"/>
          <w:szCs w:val="20"/>
          <w:lang w:val="fr-FR"/>
        </w:rPr>
      </w:pPr>
      <w:r w:rsidRPr="00E414A1">
        <w:rPr>
          <w:rFonts w:cs="Arial"/>
          <w:szCs w:val="20"/>
          <w:lang w:val="fr-FR"/>
        </w:rPr>
        <w:t>F : +43.(0)50.486-31</w:t>
      </w:r>
    </w:p>
    <w:p w:rsidR="000F039C" w:rsidRPr="00E414A1" w:rsidRDefault="000F039C" w:rsidP="000F039C">
      <w:pPr>
        <w:spacing w:line="240" w:lineRule="auto"/>
        <w:ind w:right="1837"/>
        <w:rPr>
          <w:rFonts w:cs="Arial"/>
          <w:szCs w:val="20"/>
          <w:lang w:val="fr-FR"/>
        </w:rPr>
      </w:pPr>
      <w:r w:rsidRPr="00E414A1">
        <w:rPr>
          <w:rFonts w:cs="Arial"/>
          <w:szCs w:val="20"/>
          <w:lang w:val="fr-FR"/>
        </w:rPr>
        <w:t>Courriel : tgw@tgw-group.com</w:t>
      </w:r>
    </w:p>
    <w:p w:rsidR="000F039C" w:rsidRPr="00E414A1" w:rsidRDefault="000F039C" w:rsidP="000F039C">
      <w:pPr>
        <w:spacing w:line="240" w:lineRule="auto"/>
        <w:ind w:right="1837"/>
        <w:rPr>
          <w:rFonts w:cs="Arial"/>
          <w:szCs w:val="20"/>
          <w:lang w:val="fr-FR"/>
        </w:rPr>
      </w:pPr>
    </w:p>
    <w:p w:rsidR="000F039C" w:rsidRPr="00E414A1" w:rsidRDefault="000F039C" w:rsidP="000F039C">
      <w:pPr>
        <w:spacing w:line="240" w:lineRule="auto"/>
        <w:ind w:right="1837"/>
        <w:rPr>
          <w:rFonts w:cs="Arial"/>
          <w:szCs w:val="20"/>
          <w:lang w:val="fr-FR"/>
        </w:rPr>
      </w:pPr>
    </w:p>
    <w:p w:rsidR="000F039C" w:rsidRPr="00E414A1" w:rsidRDefault="000F039C" w:rsidP="000F039C">
      <w:pPr>
        <w:spacing w:line="240" w:lineRule="auto"/>
        <w:ind w:right="1837"/>
        <w:rPr>
          <w:rFonts w:cs="Arial"/>
          <w:szCs w:val="20"/>
          <w:lang w:val="fr-FR"/>
        </w:rPr>
      </w:pPr>
    </w:p>
    <w:p w:rsidR="000F039C" w:rsidRPr="00E414A1" w:rsidRDefault="000F039C" w:rsidP="000F039C">
      <w:pPr>
        <w:spacing w:line="240" w:lineRule="auto"/>
        <w:ind w:right="1837"/>
        <w:rPr>
          <w:rFonts w:cs="Arial"/>
          <w:szCs w:val="20"/>
          <w:lang w:val="fr-FR"/>
        </w:rPr>
      </w:pPr>
    </w:p>
    <w:p w:rsidR="008A6F35" w:rsidRPr="00A24BD4" w:rsidRDefault="00911C81" w:rsidP="000F039C">
      <w:pPr>
        <w:spacing w:line="240" w:lineRule="auto"/>
        <w:ind w:right="701"/>
        <w:rPr>
          <w:rFonts w:cs="Arial"/>
          <w:b/>
          <w:szCs w:val="20"/>
          <w:lang w:val="fr-FR"/>
        </w:rPr>
      </w:pPr>
      <w:r w:rsidRPr="00A24BD4">
        <w:rPr>
          <w:rFonts w:cs="Arial"/>
          <w:b/>
          <w:szCs w:val="20"/>
          <w:lang w:val="fr-FR"/>
        </w:rPr>
        <w:t>Attaché de presse</w:t>
      </w:r>
      <w:r w:rsidR="000F039C" w:rsidRPr="00A24BD4">
        <w:rPr>
          <w:rFonts w:cs="Arial"/>
          <w:b/>
          <w:szCs w:val="20"/>
          <w:lang w:val="fr-FR"/>
        </w:rPr>
        <w:t>:</w:t>
      </w:r>
    </w:p>
    <w:p w:rsidR="00496FFC" w:rsidRPr="00A24BD4" w:rsidRDefault="00496FFC" w:rsidP="000F039C">
      <w:pPr>
        <w:spacing w:line="240" w:lineRule="auto"/>
        <w:ind w:right="701"/>
        <w:rPr>
          <w:rFonts w:cs="Arial"/>
          <w:b/>
          <w:szCs w:val="20"/>
          <w:lang w:val="fr-FR"/>
        </w:rPr>
      </w:pPr>
    </w:p>
    <w:p w:rsidR="00496FFC" w:rsidRPr="00A24BD4" w:rsidRDefault="00496FFC" w:rsidP="00496FFC">
      <w:pPr>
        <w:spacing w:line="240" w:lineRule="auto"/>
        <w:ind w:right="701"/>
        <w:rPr>
          <w:rFonts w:cs="Arial"/>
          <w:szCs w:val="20"/>
          <w:lang w:val="fr-FR"/>
        </w:rPr>
      </w:pPr>
      <w:r w:rsidRPr="00A24BD4">
        <w:rPr>
          <w:rFonts w:cs="Arial"/>
          <w:szCs w:val="20"/>
          <w:lang w:val="fr-FR"/>
        </w:rPr>
        <w:t>Alexander Tahedl</w:t>
      </w:r>
    </w:p>
    <w:p w:rsidR="00496FFC" w:rsidRPr="00A24BD4" w:rsidRDefault="00496FFC" w:rsidP="00496FFC">
      <w:pPr>
        <w:spacing w:line="240" w:lineRule="auto"/>
        <w:ind w:right="701"/>
        <w:rPr>
          <w:rFonts w:cs="Arial"/>
          <w:szCs w:val="20"/>
          <w:lang w:val="fr-FR"/>
        </w:rPr>
      </w:pPr>
      <w:r w:rsidRPr="00A24BD4">
        <w:rPr>
          <w:rFonts w:cs="Arial"/>
          <w:szCs w:val="20"/>
          <w:lang w:val="fr-FR"/>
        </w:rPr>
        <w:t>Communications Specialist</w:t>
      </w:r>
    </w:p>
    <w:p w:rsidR="00496FFC" w:rsidRPr="00A24BD4" w:rsidRDefault="00496FFC" w:rsidP="00496FFC">
      <w:pPr>
        <w:spacing w:line="240" w:lineRule="auto"/>
        <w:ind w:right="701"/>
        <w:rPr>
          <w:rFonts w:cs="Arial"/>
          <w:szCs w:val="20"/>
          <w:lang w:val="fr-FR"/>
        </w:rPr>
      </w:pPr>
      <w:r w:rsidRPr="00A24BD4">
        <w:rPr>
          <w:rFonts w:cs="Arial"/>
          <w:szCs w:val="20"/>
          <w:lang w:val="fr-FR"/>
        </w:rPr>
        <w:t>T : +43.(0)50.486-2267</w:t>
      </w:r>
    </w:p>
    <w:p w:rsidR="00496FFC" w:rsidRPr="00A24BD4" w:rsidRDefault="00496FFC" w:rsidP="00496FFC">
      <w:pPr>
        <w:spacing w:line="240" w:lineRule="auto"/>
        <w:ind w:right="701"/>
        <w:rPr>
          <w:rFonts w:cs="Arial"/>
          <w:szCs w:val="20"/>
          <w:lang w:val="fr-FR"/>
        </w:rPr>
      </w:pPr>
      <w:r w:rsidRPr="00A24BD4">
        <w:rPr>
          <w:rFonts w:cs="Arial"/>
          <w:szCs w:val="20"/>
          <w:lang w:val="fr-FR"/>
        </w:rPr>
        <w:t>M : +43.(0)664.88459713</w:t>
      </w:r>
    </w:p>
    <w:p w:rsidR="00496FFC" w:rsidRPr="00A24BD4" w:rsidRDefault="00496FFC" w:rsidP="00496FFC">
      <w:pPr>
        <w:spacing w:line="240" w:lineRule="auto"/>
        <w:ind w:right="701"/>
        <w:rPr>
          <w:lang w:val="fr-FR"/>
        </w:rPr>
      </w:pPr>
      <w:r w:rsidRPr="00A24BD4">
        <w:rPr>
          <w:rFonts w:cs="Arial"/>
          <w:szCs w:val="20"/>
          <w:lang w:val="fr-FR"/>
        </w:rPr>
        <w:t>alexander.tahedl@tgw-group.com</w:t>
      </w:r>
    </w:p>
    <w:p w:rsidR="00496FFC" w:rsidRPr="00A24BD4" w:rsidRDefault="00496FFC" w:rsidP="000F039C">
      <w:pPr>
        <w:spacing w:line="240" w:lineRule="auto"/>
        <w:ind w:right="701"/>
        <w:rPr>
          <w:rFonts w:cs="Arial"/>
          <w:b/>
          <w:szCs w:val="20"/>
          <w:lang w:val="fr-FR"/>
        </w:rPr>
      </w:pPr>
    </w:p>
    <w:p w:rsidR="00496FFC" w:rsidRPr="00A24BD4" w:rsidRDefault="00496FFC" w:rsidP="000F039C">
      <w:pPr>
        <w:spacing w:line="240" w:lineRule="auto"/>
        <w:ind w:right="701"/>
        <w:rPr>
          <w:rFonts w:cs="Arial"/>
          <w:b/>
          <w:szCs w:val="20"/>
          <w:lang w:val="fr-FR"/>
        </w:rPr>
      </w:pPr>
    </w:p>
    <w:p w:rsidR="000F039C" w:rsidRPr="00A24BD4" w:rsidRDefault="000F039C" w:rsidP="000F039C">
      <w:pPr>
        <w:spacing w:line="240" w:lineRule="auto"/>
        <w:ind w:right="701"/>
        <w:rPr>
          <w:rFonts w:cs="Arial"/>
          <w:szCs w:val="20"/>
          <w:lang w:val="fr-FR"/>
        </w:rPr>
      </w:pPr>
      <w:r w:rsidRPr="00A24BD4">
        <w:rPr>
          <w:rFonts w:cs="Arial"/>
          <w:szCs w:val="20"/>
          <w:lang w:val="fr-FR"/>
        </w:rPr>
        <w:t>Martin Kirchmayr</w:t>
      </w:r>
    </w:p>
    <w:p w:rsidR="000F039C" w:rsidRPr="00A24BD4" w:rsidRDefault="000F039C" w:rsidP="000F039C">
      <w:pPr>
        <w:spacing w:line="240" w:lineRule="auto"/>
        <w:ind w:right="701"/>
        <w:rPr>
          <w:rFonts w:cs="Arial"/>
          <w:szCs w:val="20"/>
          <w:lang w:val="fr-FR"/>
        </w:rPr>
      </w:pPr>
      <w:r w:rsidRPr="00A24BD4">
        <w:rPr>
          <w:rFonts w:cs="Arial"/>
          <w:szCs w:val="20"/>
          <w:lang w:val="fr-FR"/>
        </w:rPr>
        <w:t>Director Marketing &amp; Communications</w:t>
      </w:r>
    </w:p>
    <w:p w:rsidR="000F039C" w:rsidRPr="00A24BD4" w:rsidRDefault="000F039C" w:rsidP="000F039C">
      <w:pPr>
        <w:spacing w:line="240" w:lineRule="auto"/>
        <w:ind w:right="701"/>
        <w:rPr>
          <w:rFonts w:cs="Arial"/>
          <w:szCs w:val="20"/>
          <w:lang w:val="fr-FR"/>
        </w:rPr>
      </w:pPr>
      <w:r w:rsidRPr="00A24BD4">
        <w:rPr>
          <w:rFonts w:cs="Arial"/>
          <w:szCs w:val="20"/>
          <w:lang w:val="fr-FR"/>
        </w:rPr>
        <w:t>T : +43.(0)50.486-1382</w:t>
      </w:r>
    </w:p>
    <w:p w:rsidR="000F039C" w:rsidRPr="00A24BD4" w:rsidRDefault="00085DE5" w:rsidP="000F039C">
      <w:pPr>
        <w:tabs>
          <w:tab w:val="left" w:pos="3432"/>
        </w:tabs>
        <w:spacing w:line="240" w:lineRule="auto"/>
        <w:ind w:right="701"/>
        <w:rPr>
          <w:rFonts w:cs="Arial"/>
          <w:szCs w:val="20"/>
          <w:lang w:val="fr-FR"/>
        </w:rPr>
      </w:pPr>
      <w:r w:rsidRPr="00A24BD4">
        <w:rPr>
          <w:rFonts w:cs="Arial"/>
          <w:szCs w:val="20"/>
          <w:lang w:val="fr-FR"/>
        </w:rPr>
        <w:t>M : +43.(0)664.8187423</w:t>
      </w:r>
    </w:p>
    <w:p w:rsidR="00496FFC" w:rsidRPr="00A24BD4" w:rsidRDefault="00085DE5">
      <w:pPr>
        <w:spacing w:line="240" w:lineRule="auto"/>
        <w:ind w:right="701"/>
        <w:rPr>
          <w:rFonts w:cs="Arial"/>
          <w:szCs w:val="20"/>
          <w:lang w:val="fr-FR"/>
        </w:rPr>
      </w:pPr>
      <w:r w:rsidRPr="00A24BD4">
        <w:rPr>
          <w:rFonts w:cs="Arial"/>
          <w:szCs w:val="20"/>
          <w:lang w:val="fr-FR"/>
        </w:rPr>
        <w:t>martin.kirchmayr@tgw-group.com</w:t>
      </w:r>
    </w:p>
    <w:p w:rsidR="007E79A3" w:rsidRPr="00A24BD4" w:rsidRDefault="007E79A3">
      <w:pPr>
        <w:spacing w:line="240" w:lineRule="auto"/>
        <w:ind w:right="701"/>
        <w:rPr>
          <w:rFonts w:cs="Arial"/>
          <w:szCs w:val="20"/>
          <w:lang w:val="fr-FR"/>
        </w:rPr>
      </w:pPr>
    </w:p>
    <w:sectPr w:rsidR="007E79A3" w:rsidRPr="00A24BD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E60" w:rsidRDefault="009E5E60" w:rsidP="00764006">
      <w:pPr>
        <w:spacing w:line="240" w:lineRule="auto"/>
      </w:pPr>
      <w:r>
        <w:separator/>
      </w:r>
    </w:p>
  </w:endnote>
  <w:endnote w:type="continuationSeparator" w:id="0">
    <w:p w:rsidR="009E5E60" w:rsidRDefault="009E5E6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147B47">
            <w:rPr>
              <w:noProof/>
              <w:sz w:val="16"/>
            </w:rPr>
            <w:t>3</w:t>
          </w:r>
          <w:r>
            <w:fldChar w:fldCharType="end"/>
          </w:r>
          <w:r>
            <w:rPr>
              <w:sz w:val="16"/>
            </w:rPr>
            <w:t xml:space="preserve"> / 4</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E60" w:rsidRDefault="009E5E60" w:rsidP="00764006">
      <w:pPr>
        <w:spacing w:line="240" w:lineRule="auto"/>
      </w:pPr>
      <w:r>
        <w:separator/>
      </w:r>
    </w:p>
  </w:footnote>
  <w:footnote w:type="continuationSeparator" w:id="0">
    <w:p w:rsidR="009E5E60" w:rsidRDefault="009E5E6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78D8039B" wp14:editId="120F512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3"/>
  </w:num>
  <w:num w:numId="7">
    <w:abstractNumId w:val="13"/>
  </w:num>
  <w:num w:numId="8">
    <w:abstractNumId w:val="10"/>
  </w:num>
  <w:num w:numId="9">
    <w:abstractNumId w:val="18"/>
  </w:num>
  <w:num w:numId="10">
    <w:abstractNumId w:val="1"/>
  </w:num>
  <w:num w:numId="11">
    <w:abstractNumId w:val="6"/>
  </w:num>
  <w:num w:numId="12">
    <w:abstractNumId w:val="15"/>
  </w:num>
  <w:num w:numId="13">
    <w:abstractNumId w:val="16"/>
  </w:num>
  <w:num w:numId="14">
    <w:abstractNumId w:val="20"/>
  </w:num>
  <w:num w:numId="15">
    <w:abstractNumId w:val="22"/>
  </w:num>
  <w:num w:numId="16">
    <w:abstractNumId w:val="4"/>
  </w:num>
  <w:num w:numId="17">
    <w:abstractNumId w:val="19"/>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8BC"/>
    <w:rsid w:val="000048E9"/>
    <w:rsid w:val="00004D39"/>
    <w:rsid w:val="00004F6A"/>
    <w:rsid w:val="000067D6"/>
    <w:rsid w:val="00007176"/>
    <w:rsid w:val="00007CF1"/>
    <w:rsid w:val="00013BF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21F"/>
    <w:rsid w:val="000A7433"/>
    <w:rsid w:val="000B3A42"/>
    <w:rsid w:val="000B3BB3"/>
    <w:rsid w:val="000B58AB"/>
    <w:rsid w:val="000B6520"/>
    <w:rsid w:val="000B6706"/>
    <w:rsid w:val="000B6892"/>
    <w:rsid w:val="000B697D"/>
    <w:rsid w:val="000B6D90"/>
    <w:rsid w:val="000B72D6"/>
    <w:rsid w:val="000B7F5B"/>
    <w:rsid w:val="000C043F"/>
    <w:rsid w:val="000C48AB"/>
    <w:rsid w:val="000D04E9"/>
    <w:rsid w:val="000D055C"/>
    <w:rsid w:val="000D0B64"/>
    <w:rsid w:val="000D0FFE"/>
    <w:rsid w:val="000D3D7D"/>
    <w:rsid w:val="000D445F"/>
    <w:rsid w:val="000D5038"/>
    <w:rsid w:val="000D5631"/>
    <w:rsid w:val="000D570F"/>
    <w:rsid w:val="000D5CF0"/>
    <w:rsid w:val="000D7892"/>
    <w:rsid w:val="000D79F0"/>
    <w:rsid w:val="000E1710"/>
    <w:rsid w:val="000E2B57"/>
    <w:rsid w:val="000E5B4A"/>
    <w:rsid w:val="000E6579"/>
    <w:rsid w:val="000E721B"/>
    <w:rsid w:val="000E742E"/>
    <w:rsid w:val="000E779D"/>
    <w:rsid w:val="000F039C"/>
    <w:rsid w:val="000F2136"/>
    <w:rsid w:val="000F6568"/>
    <w:rsid w:val="000F6786"/>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5EB3"/>
    <w:rsid w:val="00147B47"/>
    <w:rsid w:val="00150056"/>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2BC3"/>
    <w:rsid w:val="00172F83"/>
    <w:rsid w:val="00172FF1"/>
    <w:rsid w:val="00174445"/>
    <w:rsid w:val="00174858"/>
    <w:rsid w:val="00174FA7"/>
    <w:rsid w:val="00177186"/>
    <w:rsid w:val="00177950"/>
    <w:rsid w:val="00177E66"/>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A0355"/>
    <w:rsid w:val="001A0755"/>
    <w:rsid w:val="001A08BF"/>
    <w:rsid w:val="001A143C"/>
    <w:rsid w:val="001A2A7D"/>
    <w:rsid w:val="001A36B2"/>
    <w:rsid w:val="001A3CC9"/>
    <w:rsid w:val="001A4177"/>
    <w:rsid w:val="001A639D"/>
    <w:rsid w:val="001B0377"/>
    <w:rsid w:val="001B1C61"/>
    <w:rsid w:val="001B2714"/>
    <w:rsid w:val="001B32D8"/>
    <w:rsid w:val="001B331B"/>
    <w:rsid w:val="001B3B4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B2A"/>
    <w:rsid w:val="001D3BE6"/>
    <w:rsid w:val="001D3C10"/>
    <w:rsid w:val="001D6C93"/>
    <w:rsid w:val="001D6FB0"/>
    <w:rsid w:val="001E064D"/>
    <w:rsid w:val="001E12D3"/>
    <w:rsid w:val="001E2DC7"/>
    <w:rsid w:val="001E3060"/>
    <w:rsid w:val="001E3416"/>
    <w:rsid w:val="001E4E67"/>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35CF"/>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24A9"/>
    <w:rsid w:val="002A24DB"/>
    <w:rsid w:val="002A47F3"/>
    <w:rsid w:val="002A50BC"/>
    <w:rsid w:val="002A540B"/>
    <w:rsid w:val="002A5A42"/>
    <w:rsid w:val="002A62CC"/>
    <w:rsid w:val="002A6820"/>
    <w:rsid w:val="002A6CF7"/>
    <w:rsid w:val="002A6D6B"/>
    <w:rsid w:val="002B0533"/>
    <w:rsid w:val="002B13F8"/>
    <w:rsid w:val="002B27F9"/>
    <w:rsid w:val="002B3503"/>
    <w:rsid w:val="002B4568"/>
    <w:rsid w:val="002B4848"/>
    <w:rsid w:val="002B52CA"/>
    <w:rsid w:val="002B56A8"/>
    <w:rsid w:val="002B5E97"/>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71B6"/>
    <w:rsid w:val="002F059B"/>
    <w:rsid w:val="002F0A80"/>
    <w:rsid w:val="002F390A"/>
    <w:rsid w:val="002F3C41"/>
    <w:rsid w:val="002F4C86"/>
    <w:rsid w:val="002F4FEE"/>
    <w:rsid w:val="002F748C"/>
    <w:rsid w:val="002F7C97"/>
    <w:rsid w:val="003014F9"/>
    <w:rsid w:val="0030159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30273"/>
    <w:rsid w:val="00331CE5"/>
    <w:rsid w:val="00331DF2"/>
    <w:rsid w:val="0033228A"/>
    <w:rsid w:val="003324FD"/>
    <w:rsid w:val="00332A95"/>
    <w:rsid w:val="003336F3"/>
    <w:rsid w:val="00334F88"/>
    <w:rsid w:val="00335814"/>
    <w:rsid w:val="0033586A"/>
    <w:rsid w:val="00336419"/>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232F"/>
    <w:rsid w:val="00392F49"/>
    <w:rsid w:val="00393F32"/>
    <w:rsid w:val="003A0407"/>
    <w:rsid w:val="003A0544"/>
    <w:rsid w:val="003A1816"/>
    <w:rsid w:val="003A2448"/>
    <w:rsid w:val="003A28BB"/>
    <w:rsid w:val="003A2AEC"/>
    <w:rsid w:val="003A6EC7"/>
    <w:rsid w:val="003A717A"/>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150B4"/>
    <w:rsid w:val="00415BE0"/>
    <w:rsid w:val="0041692F"/>
    <w:rsid w:val="004173D2"/>
    <w:rsid w:val="00417A01"/>
    <w:rsid w:val="00420460"/>
    <w:rsid w:val="00421702"/>
    <w:rsid w:val="00422A59"/>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E0D"/>
    <w:rsid w:val="00436F24"/>
    <w:rsid w:val="00441043"/>
    <w:rsid w:val="0044195E"/>
    <w:rsid w:val="0044232B"/>
    <w:rsid w:val="00443F10"/>
    <w:rsid w:val="0044421B"/>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57310"/>
    <w:rsid w:val="00460E31"/>
    <w:rsid w:val="00463578"/>
    <w:rsid w:val="004642BC"/>
    <w:rsid w:val="004646A3"/>
    <w:rsid w:val="00465E2E"/>
    <w:rsid w:val="00467299"/>
    <w:rsid w:val="00467661"/>
    <w:rsid w:val="004677AF"/>
    <w:rsid w:val="00467BB2"/>
    <w:rsid w:val="00470712"/>
    <w:rsid w:val="00470B0F"/>
    <w:rsid w:val="00472E03"/>
    <w:rsid w:val="00480054"/>
    <w:rsid w:val="004811AB"/>
    <w:rsid w:val="004818EE"/>
    <w:rsid w:val="004825B7"/>
    <w:rsid w:val="00483348"/>
    <w:rsid w:val="004835A9"/>
    <w:rsid w:val="00484E73"/>
    <w:rsid w:val="00485326"/>
    <w:rsid w:val="00485975"/>
    <w:rsid w:val="00485D3E"/>
    <w:rsid w:val="00487647"/>
    <w:rsid w:val="00491213"/>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C7DD9"/>
    <w:rsid w:val="004D09EE"/>
    <w:rsid w:val="004D0ED8"/>
    <w:rsid w:val="004D52DA"/>
    <w:rsid w:val="004D5EC4"/>
    <w:rsid w:val="004D6889"/>
    <w:rsid w:val="004E264D"/>
    <w:rsid w:val="004E371B"/>
    <w:rsid w:val="004E40E5"/>
    <w:rsid w:val="004E4588"/>
    <w:rsid w:val="004E4DC5"/>
    <w:rsid w:val="004E6AFB"/>
    <w:rsid w:val="004E72A9"/>
    <w:rsid w:val="004E7AC3"/>
    <w:rsid w:val="004E7C0D"/>
    <w:rsid w:val="004F1580"/>
    <w:rsid w:val="004F16F2"/>
    <w:rsid w:val="004F27BE"/>
    <w:rsid w:val="004F4838"/>
    <w:rsid w:val="004F4E86"/>
    <w:rsid w:val="004F545F"/>
    <w:rsid w:val="004F57EC"/>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CDC"/>
    <w:rsid w:val="0053149B"/>
    <w:rsid w:val="00534318"/>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594C"/>
    <w:rsid w:val="005461CA"/>
    <w:rsid w:val="0054730D"/>
    <w:rsid w:val="00547388"/>
    <w:rsid w:val="005503ED"/>
    <w:rsid w:val="00553015"/>
    <w:rsid w:val="00553DC2"/>
    <w:rsid w:val="00554CD1"/>
    <w:rsid w:val="0055503D"/>
    <w:rsid w:val="0055542D"/>
    <w:rsid w:val="00556FA2"/>
    <w:rsid w:val="00560882"/>
    <w:rsid w:val="005609F6"/>
    <w:rsid w:val="00561645"/>
    <w:rsid w:val="005627E8"/>
    <w:rsid w:val="005627FC"/>
    <w:rsid w:val="005634F5"/>
    <w:rsid w:val="005655EB"/>
    <w:rsid w:val="00572BDA"/>
    <w:rsid w:val="005735A7"/>
    <w:rsid w:val="00573A73"/>
    <w:rsid w:val="00574B91"/>
    <w:rsid w:val="00574E3C"/>
    <w:rsid w:val="00576B49"/>
    <w:rsid w:val="00577E48"/>
    <w:rsid w:val="00580CF9"/>
    <w:rsid w:val="005820BD"/>
    <w:rsid w:val="00582A98"/>
    <w:rsid w:val="00582DE4"/>
    <w:rsid w:val="0058334F"/>
    <w:rsid w:val="005835A0"/>
    <w:rsid w:val="0058393E"/>
    <w:rsid w:val="00583D84"/>
    <w:rsid w:val="0058474C"/>
    <w:rsid w:val="00584B0A"/>
    <w:rsid w:val="005861E5"/>
    <w:rsid w:val="00586708"/>
    <w:rsid w:val="00586A99"/>
    <w:rsid w:val="00587756"/>
    <w:rsid w:val="00590E98"/>
    <w:rsid w:val="005918D1"/>
    <w:rsid w:val="00592C1B"/>
    <w:rsid w:val="00593028"/>
    <w:rsid w:val="005948F3"/>
    <w:rsid w:val="00594926"/>
    <w:rsid w:val="00594A63"/>
    <w:rsid w:val="0059546F"/>
    <w:rsid w:val="00595F90"/>
    <w:rsid w:val="00597C48"/>
    <w:rsid w:val="005A1CE4"/>
    <w:rsid w:val="005A3199"/>
    <w:rsid w:val="005A3DFB"/>
    <w:rsid w:val="005A4173"/>
    <w:rsid w:val="005A4597"/>
    <w:rsid w:val="005A47C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C5D"/>
    <w:rsid w:val="005D2F99"/>
    <w:rsid w:val="005D4A90"/>
    <w:rsid w:val="005D4AF0"/>
    <w:rsid w:val="005D625F"/>
    <w:rsid w:val="005D6937"/>
    <w:rsid w:val="005D75C8"/>
    <w:rsid w:val="005E1C72"/>
    <w:rsid w:val="005E2614"/>
    <w:rsid w:val="005E26CA"/>
    <w:rsid w:val="005E2D7B"/>
    <w:rsid w:val="005E32F3"/>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403"/>
    <w:rsid w:val="00630BA8"/>
    <w:rsid w:val="0063109B"/>
    <w:rsid w:val="0063123E"/>
    <w:rsid w:val="00631358"/>
    <w:rsid w:val="00632836"/>
    <w:rsid w:val="006328BC"/>
    <w:rsid w:val="006349E7"/>
    <w:rsid w:val="00635544"/>
    <w:rsid w:val="00635E54"/>
    <w:rsid w:val="00635EB5"/>
    <w:rsid w:val="00637365"/>
    <w:rsid w:val="0063784E"/>
    <w:rsid w:val="0064026C"/>
    <w:rsid w:val="00640762"/>
    <w:rsid w:val="0064160D"/>
    <w:rsid w:val="0064273E"/>
    <w:rsid w:val="00645281"/>
    <w:rsid w:val="0064588E"/>
    <w:rsid w:val="00645BED"/>
    <w:rsid w:val="00645D8D"/>
    <w:rsid w:val="00647C57"/>
    <w:rsid w:val="00650001"/>
    <w:rsid w:val="00651CE9"/>
    <w:rsid w:val="0065394D"/>
    <w:rsid w:val="00653E6D"/>
    <w:rsid w:val="00655116"/>
    <w:rsid w:val="00656680"/>
    <w:rsid w:val="00657A2F"/>
    <w:rsid w:val="006616E3"/>
    <w:rsid w:val="0066178D"/>
    <w:rsid w:val="006626D4"/>
    <w:rsid w:val="00662DED"/>
    <w:rsid w:val="00665477"/>
    <w:rsid w:val="006670D6"/>
    <w:rsid w:val="0066718E"/>
    <w:rsid w:val="00667CD6"/>
    <w:rsid w:val="00671061"/>
    <w:rsid w:val="00672A2C"/>
    <w:rsid w:val="00672EE9"/>
    <w:rsid w:val="00673484"/>
    <w:rsid w:val="00674CCF"/>
    <w:rsid w:val="00675751"/>
    <w:rsid w:val="00675809"/>
    <w:rsid w:val="00675813"/>
    <w:rsid w:val="00676280"/>
    <w:rsid w:val="00676CB8"/>
    <w:rsid w:val="00676FE5"/>
    <w:rsid w:val="00681D6B"/>
    <w:rsid w:val="00682E52"/>
    <w:rsid w:val="006856EF"/>
    <w:rsid w:val="00685DD6"/>
    <w:rsid w:val="00685E1F"/>
    <w:rsid w:val="00690825"/>
    <w:rsid w:val="00691192"/>
    <w:rsid w:val="00691249"/>
    <w:rsid w:val="006923E1"/>
    <w:rsid w:val="0069278D"/>
    <w:rsid w:val="00694E56"/>
    <w:rsid w:val="00694E7F"/>
    <w:rsid w:val="006A020D"/>
    <w:rsid w:val="006A0369"/>
    <w:rsid w:val="006A0DF9"/>
    <w:rsid w:val="006A1418"/>
    <w:rsid w:val="006A266E"/>
    <w:rsid w:val="006A30D1"/>
    <w:rsid w:val="006A3B80"/>
    <w:rsid w:val="006A6ABB"/>
    <w:rsid w:val="006A702C"/>
    <w:rsid w:val="006B0972"/>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D8B"/>
    <w:rsid w:val="006E3FA6"/>
    <w:rsid w:val="006E4B76"/>
    <w:rsid w:val="006E4DF2"/>
    <w:rsid w:val="006E6D14"/>
    <w:rsid w:val="006E7091"/>
    <w:rsid w:val="006E7B1A"/>
    <w:rsid w:val="006E7EA8"/>
    <w:rsid w:val="006F06B9"/>
    <w:rsid w:val="006F1829"/>
    <w:rsid w:val="006F1BEF"/>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4133"/>
    <w:rsid w:val="0074552B"/>
    <w:rsid w:val="0074674C"/>
    <w:rsid w:val="007467C4"/>
    <w:rsid w:val="00747352"/>
    <w:rsid w:val="00747660"/>
    <w:rsid w:val="007502BB"/>
    <w:rsid w:val="0075030E"/>
    <w:rsid w:val="007506B6"/>
    <w:rsid w:val="00751008"/>
    <w:rsid w:val="0075117B"/>
    <w:rsid w:val="00751CEF"/>
    <w:rsid w:val="0075207B"/>
    <w:rsid w:val="00752A31"/>
    <w:rsid w:val="00753DF1"/>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919B7"/>
    <w:rsid w:val="00793254"/>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3CA6"/>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16AA"/>
    <w:rsid w:val="007F2DE1"/>
    <w:rsid w:val="007F3CA0"/>
    <w:rsid w:val="007F4275"/>
    <w:rsid w:val="007F4592"/>
    <w:rsid w:val="007F4673"/>
    <w:rsid w:val="007F66BF"/>
    <w:rsid w:val="007F722E"/>
    <w:rsid w:val="007F76F2"/>
    <w:rsid w:val="00803002"/>
    <w:rsid w:val="008031A8"/>
    <w:rsid w:val="0080350C"/>
    <w:rsid w:val="008047B3"/>
    <w:rsid w:val="00804C59"/>
    <w:rsid w:val="00805337"/>
    <w:rsid w:val="008057A1"/>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9B1"/>
    <w:rsid w:val="00853F0F"/>
    <w:rsid w:val="00854198"/>
    <w:rsid w:val="0085553E"/>
    <w:rsid w:val="008562E6"/>
    <w:rsid w:val="008578D5"/>
    <w:rsid w:val="00857C04"/>
    <w:rsid w:val="0086138B"/>
    <w:rsid w:val="008618D7"/>
    <w:rsid w:val="0086576A"/>
    <w:rsid w:val="00865F37"/>
    <w:rsid w:val="00866BFD"/>
    <w:rsid w:val="00866DE4"/>
    <w:rsid w:val="008672BF"/>
    <w:rsid w:val="008672DF"/>
    <w:rsid w:val="00870661"/>
    <w:rsid w:val="00870E7C"/>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43A6"/>
    <w:rsid w:val="00885347"/>
    <w:rsid w:val="00886389"/>
    <w:rsid w:val="00886C6A"/>
    <w:rsid w:val="00890FFF"/>
    <w:rsid w:val="00891020"/>
    <w:rsid w:val="00891F80"/>
    <w:rsid w:val="008921F4"/>
    <w:rsid w:val="0089373B"/>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C81"/>
    <w:rsid w:val="0091295D"/>
    <w:rsid w:val="00912F97"/>
    <w:rsid w:val="0091426C"/>
    <w:rsid w:val="00916F22"/>
    <w:rsid w:val="00916F30"/>
    <w:rsid w:val="00922059"/>
    <w:rsid w:val="009257C1"/>
    <w:rsid w:val="00925941"/>
    <w:rsid w:val="0092603A"/>
    <w:rsid w:val="009264E1"/>
    <w:rsid w:val="00927C10"/>
    <w:rsid w:val="009301DD"/>
    <w:rsid w:val="00930E95"/>
    <w:rsid w:val="00931464"/>
    <w:rsid w:val="00933B79"/>
    <w:rsid w:val="00933BDB"/>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1A"/>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5E60"/>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BD4"/>
    <w:rsid w:val="00A25379"/>
    <w:rsid w:val="00A25CF4"/>
    <w:rsid w:val="00A27B93"/>
    <w:rsid w:val="00A303C2"/>
    <w:rsid w:val="00A30A32"/>
    <w:rsid w:val="00A30BDF"/>
    <w:rsid w:val="00A316FB"/>
    <w:rsid w:val="00A31EE2"/>
    <w:rsid w:val="00A32255"/>
    <w:rsid w:val="00A322F0"/>
    <w:rsid w:val="00A34D6F"/>
    <w:rsid w:val="00A34FDA"/>
    <w:rsid w:val="00A41547"/>
    <w:rsid w:val="00A41C58"/>
    <w:rsid w:val="00A420C9"/>
    <w:rsid w:val="00A42454"/>
    <w:rsid w:val="00A42ACF"/>
    <w:rsid w:val="00A43A66"/>
    <w:rsid w:val="00A45918"/>
    <w:rsid w:val="00A459AA"/>
    <w:rsid w:val="00A47206"/>
    <w:rsid w:val="00A5065C"/>
    <w:rsid w:val="00A517AB"/>
    <w:rsid w:val="00A51FDE"/>
    <w:rsid w:val="00A52078"/>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EB8"/>
    <w:rsid w:val="00A75895"/>
    <w:rsid w:val="00A75E7C"/>
    <w:rsid w:val="00A76496"/>
    <w:rsid w:val="00A820C2"/>
    <w:rsid w:val="00A82820"/>
    <w:rsid w:val="00A829B0"/>
    <w:rsid w:val="00A82C03"/>
    <w:rsid w:val="00A837B9"/>
    <w:rsid w:val="00A839C0"/>
    <w:rsid w:val="00A85E52"/>
    <w:rsid w:val="00A868FC"/>
    <w:rsid w:val="00A86D60"/>
    <w:rsid w:val="00A91FC2"/>
    <w:rsid w:val="00A92266"/>
    <w:rsid w:val="00A92B4E"/>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1961"/>
    <w:rsid w:val="00AB1C8A"/>
    <w:rsid w:val="00AB2157"/>
    <w:rsid w:val="00AB39A3"/>
    <w:rsid w:val="00AB501C"/>
    <w:rsid w:val="00AB58DB"/>
    <w:rsid w:val="00AB6032"/>
    <w:rsid w:val="00AC02D7"/>
    <w:rsid w:val="00AC2AD6"/>
    <w:rsid w:val="00AC330A"/>
    <w:rsid w:val="00AC334F"/>
    <w:rsid w:val="00AC39F5"/>
    <w:rsid w:val="00AC3DC8"/>
    <w:rsid w:val="00AC41CF"/>
    <w:rsid w:val="00AC4EB4"/>
    <w:rsid w:val="00AD0493"/>
    <w:rsid w:val="00AD0B54"/>
    <w:rsid w:val="00AD0DDB"/>
    <w:rsid w:val="00AD23CC"/>
    <w:rsid w:val="00AD3796"/>
    <w:rsid w:val="00AD3CCE"/>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10292"/>
    <w:rsid w:val="00B10F33"/>
    <w:rsid w:val="00B121A2"/>
    <w:rsid w:val="00B1372C"/>
    <w:rsid w:val="00B1378B"/>
    <w:rsid w:val="00B13C69"/>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7BA"/>
    <w:rsid w:val="00B40D67"/>
    <w:rsid w:val="00B40D98"/>
    <w:rsid w:val="00B41A24"/>
    <w:rsid w:val="00B41F77"/>
    <w:rsid w:val="00B421FB"/>
    <w:rsid w:val="00B422A2"/>
    <w:rsid w:val="00B427AE"/>
    <w:rsid w:val="00B42D8F"/>
    <w:rsid w:val="00B42E31"/>
    <w:rsid w:val="00B43674"/>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2BFD"/>
    <w:rsid w:val="00BC3839"/>
    <w:rsid w:val="00BC5D88"/>
    <w:rsid w:val="00BC6016"/>
    <w:rsid w:val="00BC6C31"/>
    <w:rsid w:val="00BC6DE0"/>
    <w:rsid w:val="00BC7061"/>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20097"/>
    <w:rsid w:val="00C202C5"/>
    <w:rsid w:val="00C20490"/>
    <w:rsid w:val="00C21672"/>
    <w:rsid w:val="00C22BFF"/>
    <w:rsid w:val="00C234EA"/>
    <w:rsid w:val="00C23ACE"/>
    <w:rsid w:val="00C23D66"/>
    <w:rsid w:val="00C243BD"/>
    <w:rsid w:val="00C245D5"/>
    <w:rsid w:val="00C25EE9"/>
    <w:rsid w:val="00C263C3"/>
    <w:rsid w:val="00C272DC"/>
    <w:rsid w:val="00C31CEB"/>
    <w:rsid w:val="00C31E2C"/>
    <w:rsid w:val="00C321DD"/>
    <w:rsid w:val="00C33E5F"/>
    <w:rsid w:val="00C34C87"/>
    <w:rsid w:val="00C354EF"/>
    <w:rsid w:val="00C36165"/>
    <w:rsid w:val="00C36DC5"/>
    <w:rsid w:val="00C3722A"/>
    <w:rsid w:val="00C4025D"/>
    <w:rsid w:val="00C40B71"/>
    <w:rsid w:val="00C41386"/>
    <w:rsid w:val="00C423D9"/>
    <w:rsid w:val="00C43146"/>
    <w:rsid w:val="00C43FC7"/>
    <w:rsid w:val="00C44C20"/>
    <w:rsid w:val="00C47105"/>
    <w:rsid w:val="00C47252"/>
    <w:rsid w:val="00C52A37"/>
    <w:rsid w:val="00C536C6"/>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4565"/>
    <w:rsid w:val="00C7514E"/>
    <w:rsid w:val="00C75B4A"/>
    <w:rsid w:val="00C7621E"/>
    <w:rsid w:val="00C76EB3"/>
    <w:rsid w:val="00C80202"/>
    <w:rsid w:val="00C815DC"/>
    <w:rsid w:val="00C8175A"/>
    <w:rsid w:val="00C81B61"/>
    <w:rsid w:val="00C828E0"/>
    <w:rsid w:val="00C84365"/>
    <w:rsid w:val="00C84B22"/>
    <w:rsid w:val="00C84C70"/>
    <w:rsid w:val="00C85A89"/>
    <w:rsid w:val="00C86AD1"/>
    <w:rsid w:val="00C87839"/>
    <w:rsid w:val="00C905FF"/>
    <w:rsid w:val="00C91467"/>
    <w:rsid w:val="00C914F5"/>
    <w:rsid w:val="00C919D3"/>
    <w:rsid w:val="00C9260A"/>
    <w:rsid w:val="00C93DCC"/>
    <w:rsid w:val="00C947E4"/>
    <w:rsid w:val="00C9530E"/>
    <w:rsid w:val="00C95C0C"/>
    <w:rsid w:val="00CA0978"/>
    <w:rsid w:val="00CA15E3"/>
    <w:rsid w:val="00CA1D9F"/>
    <w:rsid w:val="00CA208A"/>
    <w:rsid w:val="00CA2B28"/>
    <w:rsid w:val="00CA3062"/>
    <w:rsid w:val="00CA31E6"/>
    <w:rsid w:val="00CA5B27"/>
    <w:rsid w:val="00CA69E5"/>
    <w:rsid w:val="00CA7AD1"/>
    <w:rsid w:val="00CB001F"/>
    <w:rsid w:val="00CB1FEB"/>
    <w:rsid w:val="00CB2771"/>
    <w:rsid w:val="00CB2AB1"/>
    <w:rsid w:val="00CB72E5"/>
    <w:rsid w:val="00CB7D8F"/>
    <w:rsid w:val="00CC1C78"/>
    <w:rsid w:val="00CC2FD9"/>
    <w:rsid w:val="00CC35E2"/>
    <w:rsid w:val="00CC3B58"/>
    <w:rsid w:val="00CC3CF1"/>
    <w:rsid w:val="00CC4070"/>
    <w:rsid w:val="00CC467B"/>
    <w:rsid w:val="00CC4DF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4585"/>
    <w:rsid w:val="00CE4FA6"/>
    <w:rsid w:val="00CE56E1"/>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A42"/>
    <w:rsid w:val="00D64DAA"/>
    <w:rsid w:val="00D64EFD"/>
    <w:rsid w:val="00D64FA4"/>
    <w:rsid w:val="00D65666"/>
    <w:rsid w:val="00D67261"/>
    <w:rsid w:val="00D673E6"/>
    <w:rsid w:val="00D676E0"/>
    <w:rsid w:val="00D70B2F"/>
    <w:rsid w:val="00D70D31"/>
    <w:rsid w:val="00D70DE4"/>
    <w:rsid w:val="00D72658"/>
    <w:rsid w:val="00D744FF"/>
    <w:rsid w:val="00D74F33"/>
    <w:rsid w:val="00D75D73"/>
    <w:rsid w:val="00D7687F"/>
    <w:rsid w:val="00D807C9"/>
    <w:rsid w:val="00D80835"/>
    <w:rsid w:val="00D82FEB"/>
    <w:rsid w:val="00D83D60"/>
    <w:rsid w:val="00D841E6"/>
    <w:rsid w:val="00D84487"/>
    <w:rsid w:val="00D84667"/>
    <w:rsid w:val="00D86118"/>
    <w:rsid w:val="00D873CB"/>
    <w:rsid w:val="00D879A7"/>
    <w:rsid w:val="00D87EE8"/>
    <w:rsid w:val="00D90DAC"/>
    <w:rsid w:val="00D91BC3"/>
    <w:rsid w:val="00D92D51"/>
    <w:rsid w:val="00D935E9"/>
    <w:rsid w:val="00D95B75"/>
    <w:rsid w:val="00D96CD7"/>
    <w:rsid w:val="00D97519"/>
    <w:rsid w:val="00DA00AB"/>
    <w:rsid w:val="00DA1B96"/>
    <w:rsid w:val="00DA243F"/>
    <w:rsid w:val="00DA3674"/>
    <w:rsid w:val="00DA3C79"/>
    <w:rsid w:val="00DA4CF4"/>
    <w:rsid w:val="00DA542A"/>
    <w:rsid w:val="00DA5891"/>
    <w:rsid w:val="00DA5B79"/>
    <w:rsid w:val="00DA604A"/>
    <w:rsid w:val="00DA6A90"/>
    <w:rsid w:val="00DA70A8"/>
    <w:rsid w:val="00DA73D2"/>
    <w:rsid w:val="00DA795B"/>
    <w:rsid w:val="00DA7C94"/>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AB1"/>
    <w:rsid w:val="00DD1EC2"/>
    <w:rsid w:val="00DD417D"/>
    <w:rsid w:val="00DD5502"/>
    <w:rsid w:val="00DD589D"/>
    <w:rsid w:val="00DD6316"/>
    <w:rsid w:val="00DD6B33"/>
    <w:rsid w:val="00DD6ED8"/>
    <w:rsid w:val="00DE00D7"/>
    <w:rsid w:val="00DE08DC"/>
    <w:rsid w:val="00DE18F3"/>
    <w:rsid w:val="00DE1B16"/>
    <w:rsid w:val="00DE1E5B"/>
    <w:rsid w:val="00DE225D"/>
    <w:rsid w:val="00DE2506"/>
    <w:rsid w:val="00DE31D1"/>
    <w:rsid w:val="00DE4D1E"/>
    <w:rsid w:val="00DE52FA"/>
    <w:rsid w:val="00DE7196"/>
    <w:rsid w:val="00DE743D"/>
    <w:rsid w:val="00DE745F"/>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4032F"/>
    <w:rsid w:val="00E414A1"/>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70EF"/>
    <w:rsid w:val="00EA773D"/>
    <w:rsid w:val="00EA7953"/>
    <w:rsid w:val="00EB10D6"/>
    <w:rsid w:val="00EB1C97"/>
    <w:rsid w:val="00EB1F8E"/>
    <w:rsid w:val="00EB2276"/>
    <w:rsid w:val="00EB3670"/>
    <w:rsid w:val="00EB4075"/>
    <w:rsid w:val="00EB467F"/>
    <w:rsid w:val="00EB49E8"/>
    <w:rsid w:val="00EB6C54"/>
    <w:rsid w:val="00EB742E"/>
    <w:rsid w:val="00EC0654"/>
    <w:rsid w:val="00EC43AA"/>
    <w:rsid w:val="00EC61E1"/>
    <w:rsid w:val="00EC6426"/>
    <w:rsid w:val="00ED14CD"/>
    <w:rsid w:val="00ED291D"/>
    <w:rsid w:val="00ED3142"/>
    <w:rsid w:val="00ED48BB"/>
    <w:rsid w:val="00ED4D8C"/>
    <w:rsid w:val="00EE01B5"/>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74EE"/>
    <w:rsid w:val="00F519F1"/>
    <w:rsid w:val="00F54CA0"/>
    <w:rsid w:val="00F55710"/>
    <w:rsid w:val="00F56184"/>
    <w:rsid w:val="00F567F5"/>
    <w:rsid w:val="00F579E4"/>
    <w:rsid w:val="00F57C04"/>
    <w:rsid w:val="00F607D0"/>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7136"/>
    <w:rsid w:val="00F97D38"/>
    <w:rsid w:val="00FA29E9"/>
    <w:rsid w:val="00FA38D1"/>
    <w:rsid w:val="00FA418C"/>
    <w:rsid w:val="00FA58B7"/>
    <w:rsid w:val="00FA60CB"/>
    <w:rsid w:val="00FA6608"/>
    <w:rsid w:val="00FA7D9F"/>
    <w:rsid w:val="00FB097F"/>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56999995">
      <w:bodyDiv w:val="1"/>
      <w:marLeft w:val="0"/>
      <w:marRight w:val="0"/>
      <w:marTop w:val="0"/>
      <w:marBottom w:val="0"/>
      <w:divBdr>
        <w:top w:val="none" w:sz="0" w:space="0" w:color="auto"/>
        <w:left w:val="none" w:sz="0" w:space="0" w:color="auto"/>
        <w:bottom w:val="none" w:sz="0" w:space="0" w:color="auto"/>
        <w:right w:val="none" w:sz="0" w:space="0" w:color="auto"/>
      </w:divBdr>
    </w:div>
    <w:div w:id="20653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B9164-EBD5-4ED6-BF82-ED55ED8C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5709</Characters>
  <Application>Microsoft Office Word</Application>
  <DocSecurity>0</DocSecurity>
  <Lines>47</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réalise le chiffre d'affaires le plus élevé de son histoire</dc:title>
  <dc:creator>Wohlfarth Andrea</dc:creator>
  <cp:lastModifiedBy>Weiß Lena</cp:lastModifiedBy>
  <cp:revision>2</cp:revision>
  <cp:lastPrinted>2020-09-07T05:28:00Z</cp:lastPrinted>
  <dcterms:created xsi:type="dcterms:W3CDTF">2021-02-08T08:02:00Z</dcterms:created>
  <dcterms:modified xsi:type="dcterms:W3CDTF">2021-02-08T08:02:00Z</dcterms:modified>
</cp:coreProperties>
</file>