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425FE" w14:textId="4A6DAB72" w:rsidR="00AA314A" w:rsidRPr="001A6378" w:rsidRDefault="00AA314A" w:rsidP="00785637">
      <w:pPr>
        <w:tabs>
          <w:tab w:val="left" w:pos="942"/>
        </w:tabs>
        <w:spacing w:line="360" w:lineRule="auto"/>
        <w:ind w:left="0" w:right="1693"/>
        <w:jc w:val="left"/>
        <w:rPr>
          <w:rFonts w:cs="Arial"/>
          <w:b/>
          <w:sz w:val="16"/>
          <w:szCs w:val="16"/>
          <w:lang w:val="fr-FR"/>
        </w:rPr>
      </w:pPr>
    </w:p>
    <w:p w14:paraId="26FB9E78" w14:textId="0EA39DDB" w:rsidR="00B83BBF" w:rsidRPr="0031613F" w:rsidRDefault="00FC76CF" w:rsidP="00785637">
      <w:pPr>
        <w:spacing w:line="360" w:lineRule="auto"/>
        <w:ind w:left="0" w:right="1693"/>
        <w:jc w:val="left"/>
        <w:rPr>
          <w:rFonts w:cs="Arial"/>
          <w:b/>
          <w:sz w:val="28"/>
          <w:szCs w:val="28"/>
          <w:lang w:val="fr-FR"/>
        </w:rPr>
      </w:pPr>
      <w:r w:rsidRPr="0031613F">
        <w:rPr>
          <w:rFonts w:cs="Arial"/>
          <w:b/>
          <w:sz w:val="28"/>
          <w:szCs w:val="28"/>
          <w:lang w:val="fr-FR"/>
        </w:rPr>
        <w:t>Rétrofit : Des économies d’énergie de 37 % pour esco</w:t>
      </w:r>
    </w:p>
    <w:p w14:paraId="56F93390" w14:textId="5F98FE00" w:rsidR="00BF03D6" w:rsidRPr="0031613F" w:rsidRDefault="00BF03D6" w:rsidP="00785637">
      <w:pPr>
        <w:spacing w:line="360" w:lineRule="auto"/>
        <w:ind w:left="0" w:right="1693"/>
        <w:jc w:val="left"/>
        <w:rPr>
          <w:rFonts w:cs="Arial"/>
          <w:b/>
          <w:szCs w:val="20"/>
          <w:lang w:val="fr-FR"/>
        </w:rPr>
      </w:pPr>
    </w:p>
    <w:p w14:paraId="7F1C6609" w14:textId="71001C08" w:rsidR="00F106FE" w:rsidRPr="0031613F" w:rsidRDefault="0005764B" w:rsidP="00785637">
      <w:pPr>
        <w:pStyle w:val="Listenabsatz"/>
        <w:numPr>
          <w:ilvl w:val="0"/>
          <w:numId w:val="23"/>
        </w:numPr>
        <w:spacing w:line="360" w:lineRule="auto"/>
        <w:ind w:right="1693"/>
        <w:jc w:val="left"/>
        <w:rPr>
          <w:rFonts w:cs="Arial"/>
          <w:b/>
          <w:sz w:val="24"/>
          <w:szCs w:val="24"/>
          <w:lang w:val="fr-FR"/>
        </w:rPr>
      </w:pPr>
      <w:r w:rsidRPr="0031613F">
        <w:rPr>
          <w:rFonts w:cs="Arial"/>
          <w:b/>
          <w:sz w:val="24"/>
          <w:szCs w:val="24"/>
          <w:lang w:val="fr-FR"/>
        </w:rPr>
        <w:t>Le spécialiste allemand de la technique des ferrures prépare son intralogistique à l’avenir grâce au savoir-faire de TGW</w:t>
      </w:r>
    </w:p>
    <w:p w14:paraId="3C8DFD20" w14:textId="77777777" w:rsidR="00136301" w:rsidRPr="0031613F" w:rsidRDefault="00AE4AEC" w:rsidP="00136301">
      <w:pPr>
        <w:pStyle w:val="Listenabsatz"/>
        <w:numPr>
          <w:ilvl w:val="0"/>
          <w:numId w:val="23"/>
        </w:numPr>
        <w:spacing w:line="360" w:lineRule="auto"/>
        <w:ind w:right="1693"/>
        <w:jc w:val="left"/>
        <w:rPr>
          <w:rFonts w:cs="Arial"/>
          <w:b/>
          <w:sz w:val="24"/>
          <w:szCs w:val="24"/>
          <w:lang w:val="fr-FR"/>
        </w:rPr>
      </w:pPr>
      <w:r w:rsidRPr="0031613F">
        <w:rPr>
          <w:rFonts w:cs="Arial"/>
          <w:b/>
          <w:sz w:val="24"/>
          <w:szCs w:val="24"/>
          <w:lang w:val="fr-FR"/>
        </w:rPr>
        <w:t>Le remplacement du transstockeur permet d’augmenter les performances de 28 pourcents</w:t>
      </w:r>
    </w:p>
    <w:p w14:paraId="04B0716A" w14:textId="5E368B80" w:rsidR="00136301" w:rsidRPr="0031613F" w:rsidRDefault="00E80D5D" w:rsidP="005E7CC8">
      <w:pPr>
        <w:pStyle w:val="Listenabsatz"/>
        <w:numPr>
          <w:ilvl w:val="0"/>
          <w:numId w:val="23"/>
        </w:numPr>
        <w:spacing w:line="360" w:lineRule="auto"/>
        <w:ind w:right="1693"/>
        <w:jc w:val="left"/>
        <w:rPr>
          <w:rFonts w:cs="Arial"/>
          <w:b/>
          <w:sz w:val="24"/>
          <w:szCs w:val="24"/>
          <w:lang w:val="fr-FR"/>
        </w:rPr>
      </w:pPr>
      <w:r w:rsidRPr="0031613F">
        <w:rPr>
          <w:rFonts w:cs="Arial"/>
          <w:b/>
          <w:sz w:val="24"/>
          <w:szCs w:val="24"/>
          <w:lang w:val="fr-FR"/>
        </w:rPr>
        <w:t>Avec son projet de modernisation, l’entreprise garantit la disponibilité à long terme des installations et pose les bases d’un respect fiable des promesses faites aux clients</w:t>
      </w:r>
    </w:p>
    <w:p w14:paraId="6D9284CB" w14:textId="77777777" w:rsidR="00D86D49" w:rsidRPr="0031613F" w:rsidRDefault="00D86D49" w:rsidP="00D86D49">
      <w:pPr>
        <w:pStyle w:val="Listenabsatz"/>
        <w:spacing w:line="360" w:lineRule="auto"/>
        <w:ind w:right="1693"/>
        <w:jc w:val="left"/>
        <w:rPr>
          <w:rFonts w:cs="Arial"/>
          <w:b/>
          <w:sz w:val="24"/>
          <w:szCs w:val="24"/>
          <w:lang w:val="fr-FR"/>
        </w:rPr>
      </w:pPr>
    </w:p>
    <w:p w14:paraId="2A39CBFC" w14:textId="39547FEC" w:rsidR="00A3399D" w:rsidRPr="0031613F" w:rsidRDefault="00BF03D6" w:rsidP="00785637">
      <w:pPr>
        <w:spacing w:line="360" w:lineRule="auto"/>
        <w:ind w:left="0" w:right="1693"/>
        <w:rPr>
          <w:rFonts w:cs="Arial"/>
          <w:b/>
          <w:szCs w:val="20"/>
          <w:lang w:val="fr-FR"/>
        </w:rPr>
      </w:pPr>
      <w:r w:rsidRPr="0031613F">
        <w:rPr>
          <w:rFonts w:cs="Arial"/>
          <w:b/>
          <w:szCs w:val="20"/>
          <w:lang w:val="fr-FR"/>
        </w:rPr>
        <w:t xml:space="preserve">(Marchtrenk, </w:t>
      </w:r>
      <w:r w:rsidR="001A6378">
        <w:rPr>
          <w:rFonts w:cs="Arial"/>
          <w:b/>
          <w:szCs w:val="20"/>
          <w:lang w:val="fr-FR"/>
        </w:rPr>
        <w:t>13</w:t>
      </w:r>
      <w:r w:rsidRPr="0031613F">
        <w:rPr>
          <w:rFonts w:cs="Arial"/>
          <w:b/>
          <w:szCs w:val="20"/>
          <w:lang w:val="fr-FR"/>
        </w:rPr>
        <w:t xml:space="preserve"> </w:t>
      </w:r>
      <w:r w:rsidR="001A6378">
        <w:rPr>
          <w:rFonts w:cs="Arial"/>
          <w:b/>
          <w:szCs w:val="20"/>
          <w:lang w:val="fr-FR"/>
        </w:rPr>
        <w:t>novembre</w:t>
      </w:r>
      <w:r w:rsidRPr="0031613F">
        <w:rPr>
          <w:rFonts w:cs="Arial"/>
          <w:b/>
          <w:szCs w:val="20"/>
          <w:lang w:val="fr-FR"/>
        </w:rPr>
        <w:t xml:space="preserve"> 2023) Le spécialiste des ferrures du Bade-Wurtemberg, esco, a investi ces derniers mois dans la modernisation de son centre logistique de </w:t>
      </w:r>
      <w:proofErr w:type="spellStart"/>
      <w:r w:rsidRPr="0031613F">
        <w:rPr>
          <w:rFonts w:cs="Arial"/>
          <w:b/>
          <w:szCs w:val="20"/>
          <w:lang w:val="fr-FR"/>
        </w:rPr>
        <w:t>Ditzingen</w:t>
      </w:r>
      <w:proofErr w:type="spellEnd"/>
      <w:r w:rsidRPr="0031613F">
        <w:rPr>
          <w:rFonts w:cs="Arial"/>
          <w:b/>
          <w:szCs w:val="20"/>
          <w:lang w:val="fr-FR"/>
        </w:rPr>
        <w:t xml:space="preserve">. Divisée en trois phases, elle comprenait, outre le remplacement d’un transstockeur, des mises à niveau pour la commande et l’informatique. Toutes les opérations exécutées sans interrompre l’exploitation ont pu être achevés en janvier 2023. Avec le savoir-faire de TGW, esco prépare son intralogistique à l’avenir, augmente ses performances et profite en outre des économies d’énergie de 37 pourcents. </w:t>
      </w:r>
    </w:p>
    <w:p w14:paraId="1262D197" w14:textId="71E054F3" w:rsidR="00106492" w:rsidRPr="0031613F" w:rsidRDefault="00106492" w:rsidP="00785637">
      <w:pPr>
        <w:spacing w:line="360" w:lineRule="auto"/>
        <w:ind w:left="0" w:right="1693"/>
        <w:rPr>
          <w:rFonts w:cs="Arial"/>
          <w:b/>
          <w:szCs w:val="20"/>
          <w:lang w:val="fr-FR"/>
        </w:rPr>
      </w:pPr>
    </w:p>
    <w:p w14:paraId="0ED0C9E7" w14:textId="0771DE43" w:rsidR="00106492" w:rsidRPr="0031613F" w:rsidRDefault="00F106FE" w:rsidP="00785637">
      <w:pPr>
        <w:spacing w:line="360" w:lineRule="auto"/>
        <w:ind w:left="0" w:right="1693"/>
        <w:rPr>
          <w:rFonts w:cs="Arial"/>
          <w:szCs w:val="20"/>
          <w:lang w:val="fr-FR"/>
        </w:rPr>
      </w:pPr>
      <w:r w:rsidRPr="0031613F">
        <w:rPr>
          <w:rFonts w:cs="Arial"/>
          <w:szCs w:val="20"/>
          <w:lang w:val="fr-FR"/>
        </w:rPr>
        <w:t xml:space="preserve">Depuis sa fondation en 1965, esco fait bouger les portes et fenêtre avec ses technologies de ferrures innovatrices. Outre ses activités commerciales, l’entreprise se concentre depuis près de 60 ans sur le développement et la fabrication de produits de haute qualité pour l’automatisation des portes et des fenêtres. Basée à </w:t>
      </w:r>
      <w:proofErr w:type="spellStart"/>
      <w:r w:rsidRPr="0031613F">
        <w:rPr>
          <w:rFonts w:cs="Arial"/>
          <w:szCs w:val="20"/>
          <w:lang w:val="fr-FR"/>
        </w:rPr>
        <w:t>Ditzingen</w:t>
      </w:r>
      <w:proofErr w:type="spellEnd"/>
      <w:r w:rsidRPr="0031613F">
        <w:rPr>
          <w:rFonts w:cs="Arial"/>
          <w:szCs w:val="20"/>
          <w:lang w:val="fr-FR"/>
        </w:rPr>
        <w:t xml:space="preserve"> dans le Bade-Wurtemberg, l’entreprise est représentée par des sites en Allemagne, en Autriche et en Pologne et emploie 250 personnes.</w:t>
      </w:r>
    </w:p>
    <w:p w14:paraId="27E31D33" w14:textId="29F89C64" w:rsidR="000E3E9C" w:rsidRPr="0031613F" w:rsidRDefault="000E3E9C" w:rsidP="00785637">
      <w:pPr>
        <w:spacing w:line="360" w:lineRule="auto"/>
        <w:ind w:left="0" w:right="1693"/>
        <w:rPr>
          <w:rFonts w:cs="Arial"/>
          <w:szCs w:val="20"/>
          <w:lang w:val="fr-FR"/>
        </w:rPr>
      </w:pPr>
    </w:p>
    <w:p w14:paraId="41945F67" w14:textId="29B16AE8" w:rsidR="000E3E9C" w:rsidRPr="0031613F" w:rsidRDefault="000E3E9C" w:rsidP="00785637">
      <w:pPr>
        <w:spacing w:line="360" w:lineRule="auto"/>
        <w:ind w:left="0" w:right="1693"/>
        <w:rPr>
          <w:rFonts w:cs="Arial"/>
          <w:b/>
          <w:szCs w:val="20"/>
          <w:lang w:val="fr-FR"/>
        </w:rPr>
      </w:pPr>
      <w:r w:rsidRPr="0031613F">
        <w:rPr>
          <w:rFonts w:cs="Arial"/>
          <w:b/>
          <w:szCs w:val="20"/>
          <w:lang w:val="fr-FR"/>
        </w:rPr>
        <w:t>Analyse approfondie comme base de décision</w:t>
      </w:r>
    </w:p>
    <w:p w14:paraId="2DFA7E1B" w14:textId="1DFD433F" w:rsidR="00AE4AEC" w:rsidRPr="0031613F" w:rsidRDefault="00AE4AEC" w:rsidP="00785637">
      <w:pPr>
        <w:spacing w:line="360" w:lineRule="auto"/>
        <w:ind w:left="0" w:right="1693"/>
        <w:rPr>
          <w:rFonts w:cs="Arial"/>
          <w:b/>
          <w:szCs w:val="20"/>
          <w:lang w:val="fr-FR"/>
        </w:rPr>
      </w:pPr>
    </w:p>
    <w:p w14:paraId="16E21E4F" w14:textId="0EE4905C" w:rsidR="00106492" w:rsidRPr="0031613F" w:rsidRDefault="00E06980" w:rsidP="00785637">
      <w:pPr>
        <w:spacing w:line="360" w:lineRule="auto"/>
        <w:ind w:left="0" w:right="1693"/>
        <w:rPr>
          <w:rFonts w:cs="Arial"/>
          <w:szCs w:val="20"/>
          <w:lang w:val="fr-FR"/>
        </w:rPr>
      </w:pPr>
      <w:r w:rsidRPr="0031613F">
        <w:rPr>
          <w:rFonts w:cs="Arial"/>
          <w:szCs w:val="20"/>
          <w:lang w:val="fr-FR"/>
        </w:rPr>
        <w:t>Klaus Kollmann, Sales Project Manager chez TGW, décrit la situation de départ du projet : « Leur installation approchait de la fin de son cycle de vie. De nombreux composant n’étaient plus couverts par l’assistance, il y avait donc un risque que, le cas échéant, ils deviennent plus chers ou qu’ils ne soient plus disponibles du tout. Cela aurait pu entraîner des défis en termes de disponibilité de l'installation et, dans le pire des cas, un retard de livraison aux clients. Une analyse approfondie nous a permis d’évaluer avec esco différentes options et nous nous sommes finalement décidés pour la dernière génération de transstockeur Mustang E+ ».</w:t>
      </w:r>
    </w:p>
    <w:p w14:paraId="1B0114A3" w14:textId="7A7708EB" w:rsidR="00234DE7" w:rsidRPr="0031613F" w:rsidRDefault="0073148A" w:rsidP="00234DE7">
      <w:pPr>
        <w:spacing w:line="360" w:lineRule="auto"/>
        <w:ind w:left="0" w:right="1693"/>
        <w:rPr>
          <w:rFonts w:cs="Arial"/>
          <w:b/>
          <w:szCs w:val="20"/>
          <w:lang w:val="fr-FR"/>
        </w:rPr>
      </w:pPr>
      <w:r w:rsidRPr="0031613F">
        <w:rPr>
          <w:rFonts w:cs="Arial"/>
          <w:b/>
          <w:szCs w:val="20"/>
          <w:lang w:val="fr-FR"/>
        </w:rPr>
        <w:lastRenderedPageBreak/>
        <w:t>Une augmentation de 28 pourcents des performances</w:t>
      </w:r>
    </w:p>
    <w:p w14:paraId="13816225" w14:textId="77777777" w:rsidR="00234DE7" w:rsidRPr="0031613F" w:rsidRDefault="00234DE7" w:rsidP="00234DE7">
      <w:pPr>
        <w:spacing w:line="360" w:lineRule="auto"/>
        <w:ind w:left="0" w:right="1693"/>
        <w:rPr>
          <w:rFonts w:cs="Arial"/>
          <w:b/>
          <w:szCs w:val="20"/>
          <w:lang w:val="fr-FR"/>
        </w:rPr>
      </w:pPr>
    </w:p>
    <w:p w14:paraId="0BDF50A7" w14:textId="36B5E55E" w:rsidR="00426E6D" w:rsidRPr="0031613F" w:rsidRDefault="00426E6D" w:rsidP="00373599">
      <w:pPr>
        <w:spacing w:line="360" w:lineRule="auto"/>
        <w:ind w:left="0" w:right="1693"/>
        <w:rPr>
          <w:rFonts w:cs="Arial"/>
          <w:szCs w:val="20"/>
          <w:lang w:val="fr-FR"/>
        </w:rPr>
      </w:pPr>
      <w:r w:rsidRPr="0031613F">
        <w:rPr>
          <w:rFonts w:cs="Arial"/>
          <w:szCs w:val="20"/>
          <w:lang w:val="fr-FR"/>
        </w:rPr>
        <w:t>Le transstockeur Mustang E+ dispose d’un mât vissé, d’une technique d’entraînement intelligente et est en outre nettement plus léger que son prédécesseur. Misant sur une génération moderne de commandes, il n’a pas d’entraînement anti-oscillation. La fonction anti-oscillation implémentée dans la commande permet d’augmenter le débit, de réduire les temps de positionnement et de fonctionner en ménageant particulièrement les matériaux. Le freinage et l’accélération se font plus en douceur, le bruit et les vibrations sont considérablement réduits. Autre avantage : la conception facile à entretenir contribue à maintenir les coûts d’exploitation à un niveau bas. L’interaction de ces mesures permet une augmentation des performances de 28 % par rapport à la version précédente.</w:t>
      </w:r>
    </w:p>
    <w:p w14:paraId="319373FC" w14:textId="77777777" w:rsidR="00426E6D" w:rsidRPr="0031613F" w:rsidRDefault="00426E6D" w:rsidP="00373599">
      <w:pPr>
        <w:spacing w:line="360" w:lineRule="auto"/>
        <w:ind w:left="0" w:right="1693"/>
        <w:rPr>
          <w:rFonts w:cs="Arial"/>
          <w:szCs w:val="20"/>
          <w:lang w:val="fr-FR"/>
        </w:rPr>
      </w:pPr>
    </w:p>
    <w:p w14:paraId="6E781BF2" w14:textId="75A8760D" w:rsidR="00373599" w:rsidRPr="0031613F" w:rsidRDefault="00FA5F6C" w:rsidP="00373599">
      <w:pPr>
        <w:spacing w:line="360" w:lineRule="auto"/>
        <w:ind w:left="0" w:right="1693"/>
        <w:rPr>
          <w:rFonts w:cs="Arial"/>
          <w:szCs w:val="20"/>
          <w:lang w:val="fr-FR"/>
        </w:rPr>
      </w:pPr>
      <w:r w:rsidRPr="0031613F">
        <w:rPr>
          <w:rFonts w:cs="Arial"/>
          <w:szCs w:val="20"/>
          <w:lang w:val="fr-FR"/>
        </w:rPr>
        <w:t>Le remplacement de la mécanique et la mise à niveau de la commande et du logiciel offrent à esco une nette augmentation de la disponibilité et une simplification de la maintenance. Les résultats des tests de performance et des mesures d’énergie prouvent non seulement les avantages économiques, mais aussi l’effet positif en termes de consommation de ressources et de durabilité.</w:t>
      </w:r>
    </w:p>
    <w:p w14:paraId="33073458" w14:textId="76468185" w:rsidR="00696CCC" w:rsidRPr="0031613F" w:rsidRDefault="00696CCC" w:rsidP="00785637">
      <w:pPr>
        <w:spacing w:line="360" w:lineRule="auto"/>
        <w:ind w:left="0" w:right="1693"/>
        <w:rPr>
          <w:rFonts w:cs="Arial"/>
          <w:szCs w:val="20"/>
          <w:lang w:val="fr-FR"/>
        </w:rPr>
      </w:pPr>
    </w:p>
    <w:p w14:paraId="5437AC5A" w14:textId="0373E0ED" w:rsidR="00696CCC" w:rsidRPr="0031613F" w:rsidRDefault="00214126" w:rsidP="00785637">
      <w:pPr>
        <w:spacing w:line="360" w:lineRule="auto"/>
        <w:ind w:left="0" w:right="1693"/>
        <w:rPr>
          <w:rFonts w:cs="Arial"/>
          <w:b/>
          <w:szCs w:val="20"/>
          <w:lang w:val="fr-FR"/>
        </w:rPr>
      </w:pPr>
      <w:r w:rsidRPr="0031613F">
        <w:rPr>
          <w:rFonts w:cs="Arial"/>
          <w:b/>
          <w:szCs w:val="20"/>
          <w:lang w:val="fr-FR"/>
        </w:rPr>
        <w:t>Économies d’énergie de 37 pourcents</w:t>
      </w:r>
    </w:p>
    <w:p w14:paraId="30D767B4" w14:textId="773672F5" w:rsidR="00EC1DA6" w:rsidRPr="0031613F" w:rsidRDefault="00EC1DA6" w:rsidP="00EC1DA6">
      <w:pPr>
        <w:spacing w:line="360" w:lineRule="auto"/>
        <w:ind w:left="0" w:right="1693"/>
        <w:rPr>
          <w:rFonts w:cs="Arial"/>
          <w:b/>
          <w:szCs w:val="20"/>
          <w:lang w:val="fr-FR"/>
        </w:rPr>
      </w:pPr>
    </w:p>
    <w:p w14:paraId="4187ACF7" w14:textId="70A9F819" w:rsidR="00EC1DA6" w:rsidRPr="0031613F" w:rsidRDefault="00426E6D" w:rsidP="00785637">
      <w:pPr>
        <w:spacing w:line="360" w:lineRule="auto"/>
        <w:ind w:left="0" w:right="1693"/>
        <w:rPr>
          <w:rFonts w:cs="Arial"/>
          <w:szCs w:val="20"/>
          <w:lang w:val="fr-FR"/>
        </w:rPr>
      </w:pPr>
      <w:r w:rsidRPr="0031613F">
        <w:rPr>
          <w:rFonts w:cs="Arial"/>
          <w:szCs w:val="20"/>
          <w:lang w:val="fr-FR"/>
        </w:rPr>
        <w:t>La modernisation du matériel et des logiciels permet de réaliser au total des économies d’énergie de 37 %. Il s’agit pour esco d’une étape importante sur la voie de la durabilité. « Auparavant, l’énergie de freinage des transstockeurs était perdue. Avec le Mustang E+, nous pouvons récupérer l’énergie dans un axe de déplacement, horizontal ou vertical, pour l’utiliser dans l’autre » souligne Markus Kammerhofer, Director Sales Retrofit chez TGW. « C’est une mesure judicieuse économiquement permettant de préserver les ressources limitées. »</w:t>
      </w:r>
    </w:p>
    <w:p w14:paraId="11A9E0F2" w14:textId="7BF4AD1F" w:rsidR="00785637" w:rsidRPr="0031613F" w:rsidRDefault="00785637" w:rsidP="00785637">
      <w:pPr>
        <w:spacing w:line="360" w:lineRule="auto"/>
        <w:ind w:left="0" w:right="1693"/>
        <w:rPr>
          <w:rFonts w:cs="Arial"/>
          <w:szCs w:val="20"/>
          <w:lang w:val="fr-FR"/>
        </w:rPr>
      </w:pPr>
    </w:p>
    <w:p w14:paraId="35A7EFA3" w14:textId="7910A157" w:rsidR="00785637" w:rsidRPr="0031613F" w:rsidRDefault="00871A09" w:rsidP="00785637">
      <w:pPr>
        <w:spacing w:line="360" w:lineRule="auto"/>
        <w:ind w:left="0" w:right="1693"/>
        <w:rPr>
          <w:rFonts w:cs="Arial"/>
          <w:b/>
          <w:szCs w:val="20"/>
          <w:lang w:val="fr-FR"/>
        </w:rPr>
      </w:pPr>
      <w:r w:rsidRPr="0031613F">
        <w:rPr>
          <w:rFonts w:cs="Arial"/>
          <w:b/>
          <w:szCs w:val="20"/>
          <w:lang w:val="fr-FR"/>
        </w:rPr>
        <w:t>Investissement dans l’avenir</w:t>
      </w:r>
    </w:p>
    <w:p w14:paraId="39750DF8" w14:textId="77777777" w:rsidR="00785637" w:rsidRPr="0031613F" w:rsidRDefault="00785637" w:rsidP="00785637">
      <w:pPr>
        <w:spacing w:line="360" w:lineRule="auto"/>
        <w:ind w:left="0" w:right="1693"/>
        <w:rPr>
          <w:rFonts w:cs="Arial"/>
          <w:szCs w:val="20"/>
          <w:lang w:val="fr-FR"/>
        </w:rPr>
      </w:pPr>
    </w:p>
    <w:p w14:paraId="18D1552F" w14:textId="3B597026" w:rsidR="006F0964" w:rsidRDefault="00FC6230" w:rsidP="00785637">
      <w:pPr>
        <w:spacing w:line="360" w:lineRule="auto"/>
        <w:ind w:left="0" w:right="1693"/>
        <w:rPr>
          <w:rFonts w:cs="Arial"/>
          <w:szCs w:val="20"/>
          <w:lang w:val="fr-FR"/>
        </w:rPr>
      </w:pPr>
      <w:r w:rsidRPr="0031613F">
        <w:rPr>
          <w:rFonts w:cs="Arial"/>
          <w:szCs w:val="20"/>
          <w:lang w:val="fr-FR"/>
        </w:rPr>
        <w:t xml:space="preserve">Les spécialistes de TGW ont plus d’un demi-siècle d’expérience à son actif, et le secteur Rétrofit connaît plus particulièrement une forte croissance. Aujourd'hui, l'intégrateur système réalise cinq fois plus de projets qu'il y a dix ans et procède de manière systématique pour chaque projet. </w:t>
      </w:r>
    </w:p>
    <w:p w14:paraId="49647127" w14:textId="77777777" w:rsidR="001A6378" w:rsidRPr="0031613F" w:rsidRDefault="001A6378" w:rsidP="00785637">
      <w:pPr>
        <w:spacing w:line="360" w:lineRule="auto"/>
        <w:ind w:left="0" w:right="1693"/>
        <w:rPr>
          <w:rFonts w:cs="Arial"/>
          <w:szCs w:val="20"/>
          <w:lang w:val="fr-FR"/>
        </w:rPr>
      </w:pPr>
    </w:p>
    <w:p w14:paraId="3088ECF8" w14:textId="537E4A8B" w:rsidR="0073148A" w:rsidRPr="0031613F" w:rsidRDefault="00FC6230" w:rsidP="00785637">
      <w:pPr>
        <w:spacing w:line="360" w:lineRule="auto"/>
        <w:ind w:left="0" w:right="1693"/>
        <w:rPr>
          <w:rFonts w:cs="Arial"/>
          <w:szCs w:val="20"/>
          <w:lang w:val="fr-FR"/>
        </w:rPr>
      </w:pPr>
      <w:r w:rsidRPr="0031613F">
        <w:rPr>
          <w:rFonts w:cs="Arial"/>
          <w:szCs w:val="20"/>
          <w:lang w:val="fr-FR"/>
        </w:rPr>
        <w:t xml:space="preserve">Markus Kammerhofer insiste : « Généralement, les modernisations sont des investissements durables, car elles permettent aux entreprises de prolonger la durée de vie de leurs installations tout en augmentant leur efficacité. De nombreuses entreprises </w:t>
      </w:r>
      <w:r w:rsidRPr="0031613F">
        <w:rPr>
          <w:rFonts w:cs="Arial"/>
          <w:szCs w:val="20"/>
          <w:lang w:val="fr-FR"/>
        </w:rPr>
        <w:lastRenderedPageBreak/>
        <w:t>ont mis en place des programmes, ils utilisent les ressources de façon consciencieuse et analysent chaque élément de la chaîne logistique pour identifier les réductions d’émissions potentielles. »</w:t>
      </w:r>
    </w:p>
    <w:p w14:paraId="085FE9EF" w14:textId="77777777" w:rsidR="00426E6D" w:rsidRPr="0031613F" w:rsidRDefault="00426E6D" w:rsidP="00785637">
      <w:pPr>
        <w:spacing w:line="360" w:lineRule="auto"/>
        <w:ind w:left="0" w:right="1693"/>
        <w:rPr>
          <w:rFonts w:cs="Arial"/>
          <w:szCs w:val="20"/>
          <w:lang w:val="fr-FR"/>
        </w:rPr>
      </w:pPr>
    </w:p>
    <w:p w14:paraId="4907D690" w14:textId="1E43E883" w:rsidR="0073148A" w:rsidRPr="0031613F" w:rsidRDefault="0073148A" w:rsidP="0073148A">
      <w:pPr>
        <w:spacing w:line="360" w:lineRule="auto"/>
        <w:ind w:left="0" w:right="1693"/>
        <w:rPr>
          <w:rFonts w:cs="Arial"/>
          <w:b/>
          <w:szCs w:val="20"/>
          <w:lang w:val="fr-FR"/>
        </w:rPr>
      </w:pPr>
      <w:r w:rsidRPr="0031613F">
        <w:rPr>
          <w:rFonts w:cs="Arial"/>
          <w:b/>
          <w:szCs w:val="20"/>
          <w:lang w:val="fr-FR"/>
        </w:rPr>
        <w:t>Sept facteurs de réussite pour une recette Rétrofit parfaite</w:t>
      </w:r>
    </w:p>
    <w:p w14:paraId="33347F65" w14:textId="422D3570" w:rsidR="00E80D5D" w:rsidRPr="0031613F" w:rsidRDefault="00E80D5D" w:rsidP="00785637">
      <w:pPr>
        <w:spacing w:line="360" w:lineRule="auto"/>
        <w:ind w:left="0" w:right="1693"/>
        <w:rPr>
          <w:rFonts w:cs="Arial"/>
          <w:szCs w:val="20"/>
          <w:lang w:val="fr-FR"/>
        </w:rPr>
      </w:pPr>
    </w:p>
    <w:p w14:paraId="5AA5C121" w14:textId="2D8F517B" w:rsidR="00785637" w:rsidRPr="0031613F" w:rsidRDefault="00C61AEE" w:rsidP="00785637">
      <w:pPr>
        <w:spacing w:line="360" w:lineRule="auto"/>
        <w:ind w:left="0" w:right="1693"/>
        <w:rPr>
          <w:rFonts w:cs="Arial"/>
          <w:szCs w:val="20"/>
          <w:lang w:val="fr-FR"/>
        </w:rPr>
      </w:pPr>
      <w:r w:rsidRPr="0031613F">
        <w:rPr>
          <w:rFonts w:cs="Arial"/>
          <w:szCs w:val="20"/>
          <w:lang w:val="fr-FR"/>
        </w:rPr>
        <w:t>La vaste expérience de TGW dans le domaine du rétrofit a permis de dégager sept conditions préalables à la réussite d’un projet :</w:t>
      </w:r>
    </w:p>
    <w:p w14:paraId="1F2A8168" w14:textId="0D03796B" w:rsidR="00785637" w:rsidRPr="0031613F" w:rsidRDefault="00785637" w:rsidP="00785637">
      <w:pPr>
        <w:spacing w:line="360" w:lineRule="auto"/>
        <w:ind w:left="0" w:right="1693"/>
        <w:rPr>
          <w:rFonts w:cs="Arial"/>
          <w:szCs w:val="20"/>
          <w:lang w:val="fr-FR"/>
        </w:rPr>
      </w:pPr>
    </w:p>
    <w:p w14:paraId="3CB32FA0" w14:textId="77777777"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Respecter le délai de préparation et commencer à temps</w:t>
      </w:r>
    </w:p>
    <w:p w14:paraId="4136D37C" w14:textId="77777777"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Choisir des partenaires et directeurs de projet expérimentés</w:t>
      </w:r>
    </w:p>
    <w:p w14:paraId="6F5C0506" w14:textId="77777777"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Élaborer un plan structuré</w:t>
      </w:r>
    </w:p>
    <w:p w14:paraId="3839B43C" w14:textId="77777777"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Intégrer des solutions rétrofit spécialement développées</w:t>
      </w:r>
    </w:p>
    <w:p w14:paraId="18C441C8" w14:textId="77777777"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Créer un cahier des charges détaillé</w:t>
      </w:r>
    </w:p>
    <w:p w14:paraId="3C1C6348" w14:textId="77777777"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Exactement définir les étapes de migration</w:t>
      </w:r>
    </w:p>
    <w:p w14:paraId="1D6AFAE8" w14:textId="2819A1E4" w:rsidR="00785637" w:rsidRPr="0031613F" w:rsidRDefault="00785637" w:rsidP="00785637">
      <w:pPr>
        <w:pStyle w:val="Listenabsatz"/>
        <w:numPr>
          <w:ilvl w:val="0"/>
          <w:numId w:val="24"/>
        </w:numPr>
        <w:spacing w:line="240" w:lineRule="auto"/>
        <w:ind w:right="1695"/>
        <w:rPr>
          <w:rFonts w:cs="Arial"/>
          <w:szCs w:val="20"/>
          <w:lang w:val="fr-FR"/>
        </w:rPr>
      </w:pPr>
      <w:r w:rsidRPr="0031613F">
        <w:rPr>
          <w:rFonts w:cs="Arial"/>
          <w:szCs w:val="20"/>
          <w:lang w:val="fr-FR"/>
        </w:rPr>
        <w:t>Bien former les collaborateurs</w:t>
      </w:r>
    </w:p>
    <w:p w14:paraId="5CB06437" w14:textId="5F811877" w:rsidR="006C4D6A" w:rsidRPr="0031613F" w:rsidRDefault="006C4D6A" w:rsidP="00785637">
      <w:pPr>
        <w:spacing w:line="360" w:lineRule="auto"/>
        <w:ind w:left="0" w:right="1693"/>
        <w:rPr>
          <w:rFonts w:cs="Arial"/>
          <w:b/>
          <w:szCs w:val="20"/>
          <w:lang w:val="fr-FR"/>
        </w:rPr>
      </w:pPr>
    </w:p>
    <w:p w14:paraId="2FB1CED4" w14:textId="77777777" w:rsidR="006C4D6A" w:rsidRPr="0031613F" w:rsidRDefault="006C4D6A" w:rsidP="00785637">
      <w:pPr>
        <w:spacing w:line="360" w:lineRule="auto"/>
        <w:ind w:left="0" w:right="1693"/>
        <w:rPr>
          <w:rFonts w:cs="Arial"/>
          <w:szCs w:val="20"/>
          <w:lang w:val="fr-FR"/>
        </w:rPr>
      </w:pPr>
    </w:p>
    <w:p w14:paraId="0647E0F5" w14:textId="1B85BB7A" w:rsidR="00EB38B0" w:rsidRPr="0031613F" w:rsidRDefault="001A6378" w:rsidP="00785637">
      <w:pPr>
        <w:spacing w:line="360" w:lineRule="auto"/>
        <w:ind w:left="0" w:right="1695"/>
        <w:rPr>
          <w:rFonts w:cs="Arial"/>
          <w:szCs w:val="20"/>
          <w:lang w:val="fr-FR"/>
        </w:rPr>
      </w:pPr>
      <w:hyperlink r:id="rId11" w:history="1">
        <w:r w:rsidR="00945B6D" w:rsidRPr="0031613F">
          <w:rPr>
            <w:rStyle w:val="Hyperlink"/>
            <w:rFonts w:cs="Arial"/>
            <w:szCs w:val="20"/>
            <w:lang w:val="fr-FR"/>
          </w:rPr>
          <w:t>www.tgw-group.com</w:t>
        </w:r>
      </w:hyperlink>
    </w:p>
    <w:p w14:paraId="7CED9920" w14:textId="168A45AA" w:rsidR="00EB38B0" w:rsidRPr="0031613F" w:rsidRDefault="00EB38B0" w:rsidP="00785637">
      <w:pPr>
        <w:spacing w:line="360" w:lineRule="auto"/>
        <w:ind w:left="0" w:right="1695"/>
        <w:rPr>
          <w:rFonts w:cs="Arial"/>
          <w:szCs w:val="20"/>
          <w:lang w:val="fr-FR"/>
        </w:rPr>
      </w:pPr>
    </w:p>
    <w:p w14:paraId="519F4008" w14:textId="5FDA7576" w:rsidR="00A020E3" w:rsidRPr="0031613F" w:rsidRDefault="00A020E3" w:rsidP="00785637">
      <w:pPr>
        <w:spacing w:line="360" w:lineRule="auto"/>
        <w:ind w:left="0" w:right="1695"/>
        <w:rPr>
          <w:rFonts w:cs="Arial"/>
          <w:szCs w:val="20"/>
          <w:lang w:val="fr-FR"/>
        </w:rPr>
      </w:pPr>
    </w:p>
    <w:p w14:paraId="5AD91B03" w14:textId="19CA4647" w:rsidR="00A020E3" w:rsidRPr="0031613F" w:rsidRDefault="00A020E3" w:rsidP="00785637">
      <w:pPr>
        <w:spacing w:line="360" w:lineRule="auto"/>
        <w:ind w:left="0" w:right="1695"/>
        <w:rPr>
          <w:rFonts w:cs="Arial"/>
          <w:szCs w:val="20"/>
          <w:lang w:val="fr-FR"/>
        </w:rPr>
      </w:pPr>
    </w:p>
    <w:p w14:paraId="7FF6C185" w14:textId="3A8026A1" w:rsidR="00A020E3" w:rsidRPr="0031613F" w:rsidRDefault="00A020E3" w:rsidP="00785637">
      <w:pPr>
        <w:spacing w:line="360" w:lineRule="auto"/>
        <w:ind w:left="0" w:right="1695"/>
        <w:rPr>
          <w:rFonts w:cs="Arial"/>
          <w:szCs w:val="20"/>
          <w:lang w:val="fr-FR"/>
        </w:rPr>
      </w:pPr>
    </w:p>
    <w:p w14:paraId="6156C34E" w14:textId="450BFBF5" w:rsidR="00A020E3" w:rsidRPr="0031613F" w:rsidRDefault="00A020E3" w:rsidP="00785637">
      <w:pPr>
        <w:spacing w:line="360" w:lineRule="auto"/>
        <w:ind w:left="0" w:right="1695"/>
        <w:rPr>
          <w:rFonts w:cs="Arial"/>
          <w:szCs w:val="20"/>
          <w:lang w:val="fr-FR"/>
        </w:rPr>
      </w:pPr>
    </w:p>
    <w:p w14:paraId="77CDC7DB" w14:textId="32207218" w:rsidR="00A020E3" w:rsidRPr="0031613F" w:rsidRDefault="00A020E3" w:rsidP="00785637">
      <w:pPr>
        <w:spacing w:line="360" w:lineRule="auto"/>
        <w:ind w:left="0" w:right="1695"/>
        <w:rPr>
          <w:rFonts w:cs="Arial"/>
          <w:szCs w:val="20"/>
          <w:lang w:val="fr-FR"/>
        </w:rPr>
      </w:pPr>
    </w:p>
    <w:p w14:paraId="21C5CD46" w14:textId="2ABF77FF" w:rsidR="00A020E3" w:rsidRPr="0031613F" w:rsidRDefault="00A020E3" w:rsidP="00785637">
      <w:pPr>
        <w:spacing w:line="360" w:lineRule="auto"/>
        <w:ind w:left="0" w:right="1695"/>
        <w:rPr>
          <w:rFonts w:cs="Arial"/>
          <w:szCs w:val="20"/>
          <w:lang w:val="fr-FR"/>
        </w:rPr>
      </w:pPr>
    </w:p>
    <w:p w14:paraId="0E6B323A" w14:textId="28FAD4C5" w:rsidR="00A020E3" w:rsidRPr="0031613F" w:rsidRDefault="00A020E3" w:rsidP="00785637">
      <w:pPr>
        <w:spacing w:line="360" w:lineRule="auto"/>
        <w:ind w:left="0" w:right="1695"/>
        <w:rPr>
          <w:rFonts w:cs="Arial"/>
          <w:szCs w:val="20"/>
          <w:lang w:val="fr-FR"/>
        </w:rPr>
      </w:pPr>
    </w:p>
    <w:p w14:paraId="39C149A1" w14:textId="0797178F" w:rsidR="00A020E3" w:rsidRPr="0031613F" w:rsidRDefault="00A020E3" w:rsidP="00785637">
      <w:pPr>
        <w:spacing w:line="360" w:lineRule="auto"/>
        <w:ind w:left="0" w:right="1695"/>
        <w:rPr>
          <w:rFonts w:cs="Arial"/>
          <w:szCs w:val="20"/>
          <w:lang w:val="fr-FR"/>
        </w:rPr>
      </w:pPr>
    </w:p>
    <w:p w14:paraId="4A6F753B" w14:textId="16D63E59" w:rsidR="00A020E3" w:rsidRPr="0031613F" w:rsidRDefault="00A020E3" w:rsidP="00785637">
      <w:pPr>
        <w:spacing w:line="360" w:lineRule="auto"/>
        <w:ind w:left="0" w:right="1695"/>
        <w:rPr>
          <w:rFonts w:cs="Arial"/>
          <w:szCs w:val="20"/>
          <w:lang w:val="fr-FR"/>
        </w:rPr>
      </w:pPr>
    </w:p>
    <w:p w14:paraId="3422974D" w14:textId="398FCB03" w:rsidR="00A020E3" w:rsidRPr="0031613F" w:rsidRDefault="00A020E3" w:rsidP="00785637">
      <w:pPr>
        <w:spacing w:line="360" w:lineRule="auto"/>
        <w:ind w:left="0" w:right="1695"/>
        <w:rPr>
          <w:rFonts w:cs="Arial"/>
          <w:szCs w:val="20"/>
          <w:lang w:val="fr-FR"/>
        </w:rPr>
      </w:pPr>
    </w:p>
    <w:p w14:paraId="5C6BF59A" w14:textId="7AFE8B9C" w:rsidR="00A020E3" w:rsidRPr="0031613F" w:rsidRDefault="00A020E3" w:rsidP="00785637">
      <w:pPr>
        <w:spacing w:line="360" w:lineRule="auto"/>
        <w:ind w:left="0" w:right="1695"/>
        <w:rPr>
          <w:rFonts w:cs="Arial"/>
          <w:szCs w:val="20"/>
          <w:lang w:val="fr-FR"/>
        </w:rPr>
      </w:pPr>
    </w:p>
    <w:p w14:paraId="123EDBAE" w14:textId="5BD7FC78" w:rsidR="00A020E3" w:rsidRPr="0031613F" w:rsidRDefault="00A020E3" w:rsidP="00785637">
      <w:pPr>
        <w:spacing w:line="360" w:lineRule="auto"/>
        <w:ind w:left="0" w:right="1695"/>
        <w:rPr>
          <w:rFonts w:cs="Arial"/>
          <w:szCs w:val="20"/>
          <w:lang w:val="fr-FR"/>
        </w:rPr>
      </w:pPr>
    </w:p>
    <w:p w14:paraId="07FD75F8" w14:textId="6EF10285" w:rsidR="00A020E3" w:rsidRPr="0031613F" w:rsidRDefault="00A020E3" w:rsidP="00785637">
      <w:pPr>
        <w:spacing w:line="360" w:lineRule="auto"/>
        <w:ind w:left="0" w:right="1695"/>
        <w:rPr>
          <w:rFonts w:cs="Arial"/>
          <w:szCs w:val="20"/>
          <w:lang w:val="fr-FR"/>
        </w:rPr>
      </w:pPr>
    </w:p>
    <w:p w14:paraId="2EFA951D" w14:textId="1C68A306" w:rsidR="00A020E3" w:rsidRDefault="00A020E3" w:rsidP="00785637">
      <w:pPr>
        <w:spacing w:line="360" w:lineRule="auto"/>
        <w:ind w:left="0" w:right="1695"/>
        <w:rPr>
          <w:rFonts w:cs="Arial"/>
          <w:szCs w:val="20"/>
          <w:lang w:val="fr-FR"/>
        </w:rPr>
      </w:pPr>
    </w:p>
    <w:p w14:paraId="4DC6FED0" w14:textId="77777777" w:rsidR="001A6378" w:rsidRDefault="001A6378" w:rsidP="00785637">
      <w:pPr>
        <w:spacing w:line="360" w:lineRule="auto"/>
        <w:ind w:left="0" w:right="1695"/>
        <w:rPr>
          <w:rFonts w:cs="Arial"/>
          <w:szCs w:val="20"/>
          <w:lang w:val="fr-FR"/>
        </w:rPr>
      </w:pPr>
    </w:p>
    <w:p w14:paraId="7EAFCAB1" w14:textId="77777777" w:rsidR="001A6378" w:rsidRDefault="001A6378" w:rsidP="00785637">
      <w:pPr>
        <w:spacing w:line="360" w:lineRule="auto"/>
        <w:ind w:left="0" w:right="1695"/>
        <w:rPr>
          <w:rFonts w:cs="Arial"/>
          <w:szCs w:val="20"/>
          <w:lang w:val="fr-FR"/>
        </w:rPr>
      </w:pPr>
    </w:p>
    <w:p w14:paraId="4B5C7C0F" w14:textId="77777777" w:rsidR="001A6378" w:rsidRPr="0031613F" w:rsidRDefault="001A6378" w:rsidP="00785637">
      <w:pPr>
        <w:spacing w:line="360" w:lineRule="auto"/>
        <w:ind w:left="0" w:right="1695"/>
        <w:rPr>
          <w:rFonts w:cs="Arial"/>
          <w:szCs w:val="20"/>
          <w:lang w:val="fr-FR"/>
        </w:rPr>
      </w:pPr>
    </w:p>
    <w:p w14:paraId="7542E389" w14:textId="35B03F0D" w:rsidR="00A020E3" w:rsidRPr="0031613F" w:rsidRDefault="00A020E3" w:rsidP="00785637">
      <w:pPr>
        <w:spacing w:line="360" w:lineRule="auto"/>
        <w:ind w:left="0" w:right="1695"/>
        <w:rPr>
          <w:rFonts w:cs="Arial"/>
          <w:szCs w:val="20"/>
          <w:lang w:val="fr-FR"/>
        </w:rPr>
      </w:pPr>
    </w:p>
    <w:p w14:paraId="456F933D" w14:textId="672D658F" w:rsidR="00C03B89" w:rsidRPr="0031613F" w:rsidRDefault="00C03B89" w:rsidP="00785637">
      <w:pPr>
        <w:spacing w:line="360" w:lineRule="auto"/>
        <w:ind w:left="0" w:right="1695"/>
        <w:rPr>
          <w:rFonts w:cs="Arial"/>
          <w:szCs w:val="20"/>
          <w:lang w:val="fr-FR"/>
        </w:rPr>
      </w:pPr>
    </w:p>
    <w:p w14:paraId="539E12DD" w14:textId="6D7DAEDD" w:rsidR="00C03B89" w:rsidRPr="0031613F" w:rsidRDefault="00C03B89" w:rsidP="00785637">
      <w:pPr>
        <w:spacing w:line="360" w:lineRule="auto"/>
        <w:ind w:left="0" w:right="1695"/>
        <w:rPr>
          <w:rFonts w:cs="Arial"/>
          <w:szCs w:val="20"/>
          <w:lang w:val="fr-FR"/>
        </w:rPr>
      </w:pPr>
    </w:p>
    <w:p w14:paraId="08D485BA" w14:textId="162642B0" w:rsidR="00B46FC5" w:rsidRPr="0031613F" w:rsidRDefault="00B46FC5" w:rsidP="00785637">
      <w:pPr>
        <w:spacing w:line="360" w:lineRule="auto"/>
        <w:ind w:left="0" w:right="1695"/>
        <w:rPr>
          <w:rFonts w:cs="Arial"/>
          <w:szCs w:val="20"/>
          <w:lang w:val="fr-FR"/>
        </w:rPr>
      </w:pPr>
    </w:p>
    <w:p w14:paraId="62BF05E4" w14:textId="4FACD06A" w:rsidR="00BC7952" w:rsidRPr="0031613F" w:rsidRDefault="00BC7952" w:rsidP="008E6647">
      <w:pPr>
        <w:spacing w:line="240" w:lineRule="auto"/>
        <w:ind w:left="0" w:right="1693"/>
        <w:rPr>
          <w:rStyle w:val="Hyperlink"/>
          <w:rFonts w:cs="Arial"/>
          <w:b/>
          <w:color w:val="auto"/>
          <w:u w:val="none"/>
          <w:lang w:val="fr-FR"/>
        </w:rPr>
      </w:pPr>
      <w:r w:rsidRPr="0031613F">
        <w:rPr>
          <w:rStyle w:val="Hyperlink"/>
          <w:rFonts w:cs="Arial"/>
          <w:b/>
          <w:color w:val="auto"/>
          <w:u w:val="none"/>
          <w:lang w:val="fr-FR"/>
        </w:rPr>
        <w:lastRenderedPageBreak/>
        <w:t>À propos de TGW Logistics :</w:t>
      </w:r>
    </w:p>
    <w:p w14:paraId="5551E6F9" w14:textId="0BC04EDF" w:rsidR="00BC7952" w:rsidRPr="0031613F" w:rsidRDefault="00BC7952" w:rsidP="008E6647">
      <w:pPr>
        <w:spacing w:line="240" w:lineRule="auto"/>
        <w:ind w:left="0" w:right="1693"/>
        <w:rPr>
          <w:rStyle w:val="Hyperlink"/>
          <w:rFonts w:cs="Arial"/>
          <w:color w:val="auto"/>
          <w:u w:val="none"/>
          <w:lang w:val="fr-FR"/>
        </w:rPr>
      </w:pPr>
      <w:r w:rsidRPr="0031613F">
        <w:rPr>
          <w:rStyle w:val="Hyperlink"/>
          <w:rFonts w:cs="Arial"/>
          <w:color w:val="auto"/>
          <w:u w:val="none"/>
          <w:lang w:val="fr-FR"/>
        </w:rPr>
        <w:t>TGW Logistics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la production et la réalisation des centres logistiques complexes – des composants mécatroniques à la robotique, en passant par le pilotage et le logiciel.</w:t>
      </w:r>
    </w:p>
    <w:p w14:paraId="4216D4EB" w14:textId="77777777" w:rsidR="00BC7952" w:rsidRPr="0031613F" w:rsidRDefault="00BC7952" w:rsidP="008E6647">
      <w:pPr>
        <w:spacing w:line="240" w:lineRule="auto"/>
        <w:ind w:left="0" w:right="1693"/>
        <w:rPr>
          <w:rStyle w:val="Hyperlink"/>
          <w:rFonts w:cs="Arial"/>
          <w:color w:val="auto"/>
          <w:u w:val="none"/>
          <w:lang w:val="fr-FR"/>
        </w:rPr>
      </w:pPr>
    </w:p>
    <w:p w14:paraId="00F31BE2" w14:textId="268BB539" w:rsidR="00BC7952" w:rsidRPr="0031613F" w:rsidRDefault="00BC7952" w:rsidP="008E6647">
      <w:pPr>
        <w:spacing w:line="240" w:lineRule="auto"/>
        <w:ind w:left="0" w:right="1693"/>
        <w:rPr>
          <w:rStyle w:val="Hyperlink"/>
          <w:rFonts w:cs="Arial"/>
          <w:color w:val="auto"/>
          <w:u w:val="none"/>
          <w:lang w:val="fr-FR"/>
        </w:rPr>
      </w:pPr>
      <w:r w:rsidRPr="0031613F">
        <w:rPr>
          <w:rStyle w:val="Hyperlink"/>
          <w:rFonts w:cs="Arial"/>
          <w:color w:val="auto"/>
          <w:u w:val="none"/>
          <w:lang w:val="fr-FR"/>
        </w:rPr>
        <w:t>TGW Logistics a des filiales en Europe, en Chine et aux États-Unis et compte plus de 4 400 collaborateurs répartis dans le monde entier. Au cours de l'exercice 2022/2023, l'entreprise a réalisé un chiffre d'affaires total de 955 millions d'euros.</w:t>
      </w:r>
    </w:p>
    <w:p w14:paraId="09815EC8" w14:textId="77777777" w:rsidR="00BC7952" w:rsidRPr="0031613F" w:rsidRDefault="00BC7952" w:rsidP="008E6647">
      <w:pPr>
        <w:spacing w:line="240" w:lineRule="auto"/>
        <w:ind w:left="0" w:right="1693"/>
        <w:rPr>
          <w:rStyle w:val="Hyperlink"/>
          <w:rFonts w:cs="Arial"/>
          <w:color w:val="auto"/>
          <w:u w:val="none"/>
          <w:lang w:val="fr-FR"/>
        </w:rPr>
      </w:pPr>
    </w:p>
    <w:p w14:paraId="431DE28B" w14:textId="77777777" w:rsidR="00BC7952" w:rsidRPr="0031613F" w:rsidRDefault="00BC7952" w:rsidP="008E6647">
      <w:pPr>
        <w:spacing w:line="240" w:lineRule="auto"/>
        <w:ind w:left="0" w:right="1693"/>
        <w:rPr>
          <w:rStyle w:val="Hyperlink"/>
          <w:rFonts w:cs="Arial"/>
          <w:color w:val="auto"/>
          <w:u w:val="none"/>
          <w:lang w:val="fr-FR"/>
        </w:rPr>
      </w:pPr>
    </w:p>
    <w:p w14:paraId="6C88C333" w14:textId="77777777" w:rsidR="00BC7952" w:rsidRPr="0031613F" w:rsidRDefault="00BC7952" w:rsidP="008E6647">
      <w:pPr>
        <w:spacing w:line="240" w:lineRule="auto"/>
        <w:ind w:left="0" w:right="1693"/>
        <w:rPr>
          <w:rStyle w:val="Hyperlink"/>
          <w:rFonts w:cs="Arial"/>
          <w:color w:val="auto"/>
          <w:u w:val="none"/>
          <w:lang w:val="fr-FR"/>
        </w:rPr>
      </w:pPr>
    </w:p>
    <w:p w14:paraId="55B575CF" w14:textId="77777777" w:rsidR="00BC7952" w:rsidRPr="0031613F" w:rsidRDefault="00BC7952" w:rsidP="008E6647">
      <w:pPr>
        <w:spacing w:line="240" w:lineRule="auto"/>
        <w:ind w:left="0" w:right="1693"/>
        <w:rPr>
          <w:rStyle w:val="Hyperlink"/>
          <w:rFonts w:cs="Arial"/>
          <w:b/>
          <w:color w:val="auto"/>
          <w:u w:val="none"/>
          <w:lang w:val="fr-FR"/>
        </w:rPr>
      </w:pPr>
      <w:r w:rsidRPr="0031613F">
        <w:rPr>
          <w:rStyle w:val="Hyperlink"/>
          <w:rFonts w:cs="Arial"/>
          <w:b/>
          <w:color w:val="auto"/>
          <w:u w:val="none"/>
          <w:lang w:val="fr-FR"/>
        </w:rPr>
        <w:t>Images</w:t>
      </w:r>
    </w:p>
    <w:p w14:paraId="2D7570D3" w14:textId="77777777" w:rsidR="00BC7952" w:rsidRPr="0031613F" w:rsidRDefault="00BC7952" w:rsidP="008E6647">
      <w:pPr>
        <w:spacing w:line="240" w:lineRule="auto"/>
        <w:ind w:left="0" w:right="1693"/>
        <w:rPr>
          <w:rStyle w:val="Hyperlink"/>
          <w:rFonts w:cs="Arial"/>
          <w:color w:val="auto"/>
          <w:u w:val="none"/>
          <w:lang w:val="fr-FR"/>
        </w:rPr>
      </w:pPr>
      <w:r w:rsidRPr="0031613F">
        <w:rPr>
          <w:rStyle w:val="Hyperlink"/>
          <w:rFonts w:cs="Arial"/>
          <w:color w:val="auto"/>
          <w:u w:val="none"/>
          <w:lang w:val="fr-FR"/>
        </w:rPr>
        <w:t>Reproduction avec indication de la source et pour les rapports de presse qui traitent essentiellement de TGW Logistics Group GmbH sans honoraires. Pas de reproduction sans honoraires pour des fins commerciales.</w:t>
      </w:r>
    </w:p>
    <w:p w14:paraId="0D761457" w14:textId="77777777" w:rsidR="00BC7952" w:rsidRPr="0031613F" w:rsidRDefault="00BC7952" w:rsidP="008E6647">
      <w:pPr>
        <w:spacing w:line="240" w:lineRule="auto"/>
        <w:ind w:left="0" w:right="1693"/>
        <w:rPr>
          <w:rStyle w:val="Hyperlink"/>
          <w:rFonts w:cs="Arial"/>
          <w:color w:val="auto"/>
          <w:u w:val="none"/>
          <w:lang w:val="fr-FR"/>
        </w:rPr>
      </w:pPr>
    </w:p>
    <w:p w14:paraId="05F6FE3D" w14:textId="77777777" w:rsidR="00BC7952" w:rsidRPr="0031613F" w:rsidRDefault="00BC7952" w:rsidP="008E6647">
      <w:pPr>
        <w:spacing w:line="240" w:lineRule="auto"/>
        <w:ind w:left="0" w:right="1693"/>
        <w:rPr>
          <w:rStyle w:val="Hyperlink"/>
          <w:rFonts w:cs="Arial"/>
          <w:color w:val="auto"/>
          <w:u w:val="none"/>
          <w:lang w:val="fr-FR"/>
        </w:rPr>
      </w:pPr>
    </w:p>
    <w:p w14:paraId="6F841936" w14:textId="77777777" w:rsidR="00BC7952" w:rsidRPr="0031613F" w:rsidRDefault="00BC7952" w:rsidP="008E6647">
      <w:pPr>
        <w:spacing w:line="240" w:lineRule="auto"/>
        <w:ind w:left="0" w:right="1695"/>
        <w:rPr>
          <w:rStyle w:val="Hyperlink"/>
          <w:rFonts w:cs="Arial"/>
          <w:b/>
          <w:color w:val="auto"/>
          <w:u w:val="none"/>
          <w:lang w:val="fr-FR"/>
        </w:rPr>
      </w:pPr>
      <w:r w:rsidRPr="0031613F">
        <w:rPr>
          <w:rStyle w:val="Hyperlink"/>
          <w:rFonts w:cs="Arial"/>
          <w:b/>
          <w:color w:val="auto"/>
          <w:u w:val="none"/>
          <w:lang w:val="fr-FR"/>
        </w:rPr>
        <w:t>Contact :</w:t>
      </w:r>
    </w:p>
    <w:p w14:paraId="39C82F85"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TGW Logistics Group GmbH</w:t>
      </w:r>
    </w:p>
    <w:p w14:paraId="4FD3C161"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A-4614 Marchtrenk, Ludwig Szinicz Straße 3</w:t>
      </w:r>
    </w:p>
    <w:p w14:paraId="09AE8BB2"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T : +</w:t>
      </w:r>
      <w:proofErr w:type="gramStart"/>
      <w:r w:rsidRPr="0031613F">
        <w:rPr>
          <w:rStyle w:val="Hyperlink"/>
          <w:rFonts w:cs="Arial"/>
          <w:color w:val="auto"/>
          <w:u w:val="none"/>
          <w:lang w:val="fr-FR"/>
        </w:rPr>
        <w:t>43.(</w:t>
      </w:r>
      <w:proofErr w:type="gramEnd"/>
      <w:r w:rsidRPr="0031613F">
        <w:rPr>
          <w:rStyle w:val="Hyperlink"/>
          <w:rFonts w:cs="Arial"/>
          <w:color w:val="auto"/>
          <w:u w:val="none"/>
          <w:lang w:val="fr-FR"/>
        </w:rPr>
        <w:t>0)50.486-0</w:t>
      </w:r>
    </w:p>
    <w:p w14:paraId="0831DCE5"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F : +</w:t>
      </w:r>
      <w:proofErr w:type="gramStart"/>
      <w:r w:rsidRPr="0031613F">
        <w:rPr>
          <w:rStyle w:val="Hyperlink"/>
          <w:rFonts w:cs="Arial"/>
          <w:color w:val="auto"/>
          <w:u w:val="none"/>
          <w:lang w:val="fr-FR"/>
        </w:rPr>
        <w:t>43.(</w:t>
      </w:r>
      <w:proofErr w:type="gramEnd"/>
      <w:r w:rsidRPr="0031613F">
        <w:rPr>
          <w:rStyle w:val="Hyperlink"/>
          <w:rFonts w:cs="Arial"/>
          <w:color w:val="auto"/>
          <w:u w:val="none"/>
          <w:lang w:val="fr-FR"/>
        </w:rPr>
        <w:t>0)50.486-31</w:t>
      </w:r>
    </w:p>
    <w:p w14:paraId="7BF3FDA0"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Courriel : tgw@tgw-group.com</w:t>
      </w:r>
    </w:p>
    <w:p w14:paraId="5A55EB6B" w14:textId="77777777" w:rsidR="00BC7952" w:rsidRPr="0031613F" w:rsidRDefault="00BC7952" w:rsidP="008E6647">
      <w:pPr>
        <w:spacing w:line="240" w:lineRule="auto"/>
        <w:ind w:left="0" w:right="1695"/>
        <w:rPr>
          <w:rStyle w:val="Hyperlink"/>
          <w:rFonts w:cs="Arial"/>
          <w:color w:val="auto"/>
          <w:u w:val="none"/>
          <w:lang w:val="fr-FR"/>
        </w:rPr>
      </w:pPr>
    </w:p>
    <w:p w14:paraId="2D35514C" w14:textId="77777777" w:rsidR="00F92A0D" w:rsidRPr="0031613F" w:rsidRDefault="00F92A0D" w:rsidP="008E6647">
      <w:pPr>
        <w:spacing w:line="240" w:lineRule="auto"/>
        <w:ind w:left="0" w:right="1695"/>
        <w:rPr>
          <w:rStyle w:val="Hyperlink"/>
          <w:rFonts w:cs="Arial"/>
          <w:color w:val="auto"/>
          <w:u w:val="none"/>
          <w:lang w:val="fr-FR"/>
        </w:rPr>
      </w:pPr>
    </w:p>
    <w:p w14:paraId="717C99E3" w14:textId="77777777" w:rsidR="00F92A0D" w:rsidRPr="0031613F" w:rsidRDefault="00F92A0D"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Attaché de presse :</w:t>
      </w:r>
    </w:p>
    <w:p w14:paraId="54288C08" w14:textId="77777777" w:rsidR="00F92A0D"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Alexander Tahedl</w:t>
      </w:r>
    </w:p>
    <w:p w14:paraId="3290DE68"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Communications Specialist</w:t>
      </w:r>
    </w:p>
    <w:p w14:paraId="7AB10AE7"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T : +</w:t>
      </w:r>
      <w:proofErr w:type="gramStart"/>
      <w:r w:rsidRPr="0031613F">
        <w:rPr>
          <w:rStyle w:val="Hyperlink"/>
          <w:rFonts w:cs="Arial"/>
          <w:color w:val="auto"/>
          <w:u w:val="none"/>
          <w:lang w:val="fr-FR"/>
        </w:rPr>
        <w:t>43.(</w:t>
      </w:r>
      <w:proofErr w:type="gramEnd"/>
      <w:r w:rsidRPr="0031613F">
        <w:rPr>
          <w:rStyle w:val="Hyperlink"/>
          <w:rFonts w:cs="Arial"/>
          <w:color w:val="auto"/>
          <w:u w:val="none"/>
          <w:lang w:val="fr-FR"/>
        </w:rPr>
        <w:t>0)50.486-2267</w:t>
      </w:r>
    </w:p>
    <w:p w14:paraId="74FC38ED" w14:textId="77777777" w:rsidR="00BC7952" w:rsidRPr="0031613F" w:rsidRDefault="00BC7952" w:rsidP="008E6647">
      <w:pPr>
        <w:spacing w:line="240" w:lineRule="auto"/>
        <w:ind w:left="0" w:right="1695"/>
        <w:rPr>
          <w:rStyle w:val="Hyperlink"/>
          <w:rFonts w:cs="Arial"/>
          <w:color w:val="auto"/>
          <w:u w:val="none"/>
          <w:lang w:val="fr-FR"/>
        </w:rPr>
      </w:pPr>
      <w:r w:rsidRPr="0031613F">
        <w:rPr>
          <w:rStyle w:val="Hyperlink"/>
          <w:rFonts w:cs="Arial"/>
          <w:color w:val="auto"/>
          <w:u w:val="none"/>
          <w:lang w:val="fr-FR"/>
        </w:rPr>
        <w:t>M : +</w:t>
      </w:r>
      <w:proofErr w:type="gramStart"/>
      <w:r w:rsidRPr="0031613F">
        <w:rPr>
          <w:rStyle w:val="Hyperlink"/>
          <w:rFonts w:cs="Arial"/>
          <w:color w:val="auto"/>
          <w:u w:val="none"/>
          <w:lang w:val="fr-FR"/>
        </w:rPr>
        <w:t>43.(</w:t>
      </w:r>
      <w:proofErr w:type="gramEnd"/>
      <w:r w:rsidRPr="0031613F">
        <w:rPr>
          <w:rStyle w:val="Hyperlink"/>
          <w:rFonts w:cs="Arial"/>
          <w:color w:val="auto"/>
          <w:u w:val="none"/>
          <w:lang w:val="fr-FR"/>
        </w:rPr>
        <w:t>0)664.88459713</w:t>
      </w:r>
    </w:p>
    <w:p w14:paraId="0B20C36D" w14:textId="77777777" w:rsidR="00BC7952" w:rsidRPr="0031613F" w:rsidRDefault="00BC7952" w:rsidP="008E6647">
      <w:pPr>
        <w:spacing w:line="240" w:lineRule="auto"/>
        <w:ind w:left="0" w:right="1695"/>
        <w:rPr>
          <w:rFonts w:cs="Arial"/>
          <w:lang w:val="fr-FR"/>
        </w:rPr>
      </w:pPr>
      <w:r w:rsidRPr="0031613F">
        <w:rPr>
          <w:rStyle w:val="Hyperlink"/>
          <w:rFonts w:cs="Arial"/>
          <w:color w:val="auto"/>
          <w:u w:val="none"/>
          <w:lang w:val="fr-FR"/>
        </w:rPr>
        <w:t>alexander.tahedl@tgw-group.com</w:t>
      </w:r>
    </w:p>
    <w:p w14:paraId="02F5F2A9" w14:textId="77777777" w:rsidR="00BC7952" w:rsidRPr="0031613F" w:rsidRDefault="00BC7952" w:rsidP="008E6647">
      <w:pPr>
        <w:spacing w:line="240" w:lineRule="auto"/>
        <w:ind w:left="0" w:right="1693"/>
        <w:rPr>
          <w:rStyle w:val="Hyperlink"/>
          <w:rFonts w:cs="Arial"/>
          <w:color w:val="auto"/>
          <w:u w:val="none"/>
          <w:lang w:val="fr-FR"/>
        </w:rPr>
      </w:pPr>
    </w:p>
    <w:p w14:paraId="5FF89296" w14:textId="77777777" w:rsidR="00BC7952" w:rsidRPr="0031613F" w:rsidRDefault="00BC7952" w:rsidP="008E6647">
      <w:pPr>
        <w:spacing w:line="240" w:lineRule="auto"/>
        <w:ind w:left="0" w:right="1693"/>
        <w:rPr>
          <w:rFonts w:cs="Arial"/>
          <w:lang w:val="fr-FR"/>
        </w:rPr>
      </w:pPr>
    </w:p>
    <w:p w14:paraId="5E1C6B24" w14:textId="77777777" w:rsidR="006231AE" w:rsidRPr="0031613F" w:rsidRDefault="006231AE" w:rsidP="008E6647">
      <w:pPr>
        <w:spacing w:line="240" w:lineRule="auto"/>
        <w:ind w:left="0" w:right="1693"/>
        <w:rPr>
          <w:rFonts w:cs="Arial"/>
          <w:lang w:val="fr-FR"/>
        </w:rPr>
      </w:pPr>
    </w:p>
    <w:sectPr w:rsidR="006231AE" w:rsidRPr="0031613F"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7782" w14:textId="77777777" w:rsidR="002C02D3" w:rsidRDefault="002C02D3" w:rsidP="00764006">
      <w:pPr>
        <w:spacing w:line="240" w:lineRule="auto"/>
      </w:pPr>
      <w:r>
        <w:separator/>
      </w:r>
    </w:p>
  </w:endnote>
  <w:endnote w:type="continuationSeparator" w:id="0">
    <w:p w14:paraId="535A2B17" w14:textId="77777777" w:rsidR="002C02D3" w:rsidRDefault="002C02D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54A8A533"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Pr>
              <w:noProof/>
              <w:sz w:val="16"/>
              <w:szCs w:val="16"/>
            </w:rPr>
            <w:t>4</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E70A" w14:textId="77777777" w:rsidR="002C02D3" w:rsidRDefault="002C02D3" w:rsidP="00764006">
      <w:pPr>
        <w:spacing w:line="240" w:lineRule="auto"/>
      </w:pPr>
      <w:r>
        <w:separator/>
      </w:r>
    </w:p>
  </w:footnote>
  <w:footnote w:type="continuationSeparator" w:id="0">
    <w:p w14:paraId="5DD67B28" w14:textId="77777777" w:rsidR="002C02D3" w:rsidRDefault="002C02D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35E5370"/>
    <w:multiLevelType w:val="hybridMultilevel"/>
    <w:tmpl w:val="58E834D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2430084">
    <w:abstractNumId w:val="14"/>
  </w:num>
  <w:num w:numId="2" w16cid:durableId="1775006897">
    <w:abstractNumId w:val="9"/>
  </w:num>
  <w:num w:numId="3" w16cid:durableId="393284028">
    <w:abstractNumId w:val="13"/>
  </w:num>
  <w:num w:numId="4" w16cid:durableId="671840895">
    <w:abstractNumId w:val="17"/>
  </w:num>
  <w:num w:numId="5" w16cid:durableId="1614357744">
    <w:abstractNumId w:val="20"/>
  </w:num>
  <w:num w:numId="6" w16cid:durableId="67268912">
    <w:abstractNumId w:val="4"/>
  </w:num>
  <w:num w:numId="7" w16cid:durableId="1695767678">
    <w:abstractNumId w:val="1"/>
  </w:num>
  <w:num w:numId="8" w16cid:durableId="2019699480">
    <w:abstractNumId w:val="16"/>
  </w:num>
  <w:num w:numId="9" w16cid:durableId="1006633634">
    <w:abstractNumId w:val="6"/>
  </w:num>
  <w:num w:numId="10" w16cid:durableId="1419450134">
    <w:abstractNumId w:val="22"/>
  </w:num>
  <w:num w:numId="11" w16cid:durableId="1835366709">
    <w:abstractNumId w:val="11"/>
  </w:num>
  <w:num w:numId="12" w16cid:durableId="1065373596">
    <w:abstractNumId w:val="7"/>
  </w:num>
  <w:num w:numId="13" w16cid:durableId="825780744">
    <w:abstractNumId w:val="5"/>
  </w:num>
  <w:num w:numId="14" w16cid:durableId="464200530">
    <w:abstractNumId w:val="15"/>
  </w:num>
  <w:num w:numId="15" w16cid:durableId="174393612">
    <w:abstractNumId w:val="2"/>
  </w:num>
  <w:num w:numId="16" w16cid:durableId="1027100674">
    <w:abstractNumId w:val="3"/>
  </w:num>
  <w:num w:numId="17" w16cid:durableId="37896452">
    <w:abstractNumId w:val="0"/>
  </w:num>
  <w:num w:numId="18" w16cid:durableId="182986643">
    <w:abstractNumId w:val="8"/>
  </w:num>
  <w:num w:numId="19" w16cid:durableId="314719555">
    <w:abstractNumId w:val="10"/>
  </w:num>
  <w:num w:numId="20" w16cid:durableId="1371764290">
    <w:abstractNumId w:val="18"/>
  </w:num>
  <w:num w:numId="21" w16cid:durableId="997461120">
    <w:abstractNumId w:val="12"/>
  </w:num>
  <w:num w:numId="22" w16cid:durableId="253129487">
    <w:abstractNumId w:val="23"/>
  </w:num>
  <w:num w:numId="23" w16cid:durableId="1454981321">
    <w:abstractNumId w:val="21"/>
  </w:num>
  <w:num w:numId="24" w16cid:durableId="110808347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2AC7"/>
    <w:rsid w:val="00007FC6"/>
    <w:rsid w:val="00010CA8"/>
    <w:rsid w:val="00010D99"/>
    <w:rsid w:val="00010E02"/>
    <w:rsid w:val="00011AC1"/>
    <w:rsid w:val="00011F25"/>
    <w:rsid w:val="00011FD5"/>
    <w:rsid w:val="00012D34"/>
    <w:rsid w:val="00013BFA"/>
    <w:rsid w:val="00014E8D"/>
    <w:rsid w:val="00015103"/>
    <w:rsid w:val="000152EB"/>
    <w:rsid w:val="000176E9"/>
    <w:rsid w:val="000209B3"/>
    <w:rsid w:val="00021273"/>
    <w:rsid w:val="00021301"/>
    <w:rsid w:val="000220DD"/>
    <w:rsid w:val="000221B8"/>
    <w:rsid w:val="000221DE"/>
    <w:rsid w:val="000223E5"/>
    <w:rsid w:val="0002258B"/>
    <w:rsid w:val="000236F9"/>
    <w:rsid w:val="00025C18"/>
    <w:rsid w:val="00025FEC"/>
    <w:rsid w:val="00026DE3"/>
    <w:rsid w:val="00030C83"/>
    <w:rsid w:val="00031102"/>
    <w:rsid w:val="000318F1"/>
    <w:rsid w:val="000362EF"/>
    <w:rsid w:val="0003778F"/>
    <w:rsid w:val="00037DD1"/>
    <w:rsid w:val="00040809"/>
    <w:rsid w:val="00041122"/>
    <w:rsid w:val="000417F9"/>
    <w:rsid w:val="00041EC3"/>
    <w:rsid w:val="00042EEB"/>
    <w:rsid w:val="0004340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5764B"/>
    <w:rsid w:val="00060901"/>
    <w:rsid w:val="00061BDB"/>
    <w:rsid w:val="00064F2D"/>
    <w:rsid w:val="0006563B"/>
    <w:rsid w:val="00066244"/>
    <w:rsid w:val="000662F5"/>
    <w:rsid w:val="00066599"/>
    <w:rsid w:val="0006731A"/>
    <w:rsid w:val="00067ABB"/>
    <w:rsid w:val="00071B58"/>
    <w:rsid w:val="000738F7"/>
    <w:rsid w:val="0007431B"/>
    <w:rsid w:val="00074502"/>
    <w:rsid w:val="00074923"/>
    <w:rsid w:val="00074CF9"/>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858"/>
    <w:rsid w:val="000A267E"/>
    <w:rsid w:val="000A3054"/>
    <w:rsid w:val="000A33C6"/>
    <w:rsid w:val="000A3DB4"/>
    <w:rsid w:val="000A579F"/>
    <w:rsid w:val="000A5D32"/>
    <w:rsid w:val="000A6CE7"/>
    <w:rsid w:val="000A6FF9"/>
    <w:rsid w:val="000A77BB"/>
    <w:rsid w:val="000B2B18"/>
    <w:rsid w:val="000B4185"/>
    <w:rsid w:val="000B5044"/>
    <w:rsid w:val="000B5A93"/>
    <w:rsid w:val="000B5C66"/>
    <w:rsid w:val="000B6542"/>
    <w:rsid w:val="000B65C7"/>
    <w:rsid w:val="000B65E5"/>
    <w:rsid w:val="000B74E7"/>
    <w:rsid w:val="000B7FAB"/>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3E9C"/>
    <w:rsid w:val="000E43DC"/>
    <w:rsid w:val="000E48E5"/>
    <w:rsid w:val="000E4B36"/>
    <w:rsid w:val="000E75D4"/>
    <w:rsid w:val="000F2197"/>
    <w:rsid w:val="000F2C7A"/>
    <w:rsid w:val="000F3959"/>
    <w:rsid w:val="000F632A"/>
    <w:rsid w:val="000F6CC2"/>
    <w:rsid w:val="000F74BB"/>
    <w:rsid w:val="000F750C"/>
    <w:rsid w:val="000F7838"/>
    <w:rsid w:val="000F7C74"/>
    <w:rsid w:val="000F7ECD"/>
    <w:rsid w:val="00100BDA"/>
    <w:rsid w:val="00102353"/>
    <w:rsid w:val="0010383A"/>
    <w:rsid w:val="00103B57"/>
    <w:rsid w:val="00104CDF"/>
    <w:rsid w:val="00104DEA"/>
    <w:rsid w:val="001061B8"/>
    <w:rsid w:val="00106492"/>
    <w:rsid w:val="00106523"/>
    <w:rsid w:val="001069CF"/>
    <w:rsid w:val="00107351"/>
    <w:rsid w:val="00107D34"/>
    <w:rsid w:val="001113B7"/>
    <w:rsid w:val="001119B7"/>
    <w:rsid w:val="00111A67"/>
    <w:rsid w:val="001136BD"/>
    <w:rsid w:val="00113DEF"/>
    <w:rsid w:val="0011473E"/>
    <w:rsid w:val="00114EE0"/>
    <w:rsid w:val="00115657"/>
    <w:rsid w:val="00116B32"/>
    <w:rsid w:val="0012094E"/>
    <w:rsid w:val="00122515"/>
    <w:rsid w:val="001230A6"/>
    <w:rsid w:val="00123A02"/>
    <w:rsid w:val="00124BC7"/>
    <w:rsid w:val="00125BDB"/>
    <w:rsid w:val="00125FEB"/>
    <w:rsid w:val="0012627D"/>
    <w:rsid w:val="00126DA1"/>
    <w:rsid w:val="00127ECE"/>
    <w:rsid w:val="001305E8"/>
    <w:rsid w:val="00130D09"/>
    <w:rsid w:val="00131A55"/>
    <w:rsid w:val="001336DF"/>
    <w:rsid w:val="0013383F"/>
    <w:rsid w:val="001338DB"/>
    <w:rsid w:val="00134AF1"/>
    <w:rsid w:val="00136301"/>
    <w:rsid w:val="001404D7"/>
    <w:rsid w:val="00141099"/>
    <w:rsid w:val="001415B4"/>
    <w:rsid w:val="00142015"/>
    <w:rsid w:val="00142599"/>
    <w:rsid w:val="001429F4"/>
    <w:rsid w:val="00142C72"/>
    <w:rsid w:val="00142D0C"/>
    <w:rsid w:val="00144430"/>
    <w:rsid w:val="00144E88"/>
    <w:rsid w:val="00147C5F"/>
    <w:rsid w:val="00151FD8"/>
    <w:rsid w:val="00152760"/>
    <w:rsid w:val="00152A09"/>
    <w:rsid w:val="00153C82"/>
    <w:rsid w:val="00153D8F"/>
    <w:rsid w:val="00155AE9"/>
    <w:rsid w:val="00155DB3"/>
    <w:rsid w:val="00157367"/>
    <w:rsid w:val="00157D30"/>
    <w:rsid w:val="00162ADF"/>
    <w:rsid w:val="00162D14"/>
    <w:rsid w:val="001635F5"/>
    <w:rsid w:val="001651A2"/>
    <w:rsid w:val="00165945"/>
    <w:rsid w:val="00165988"/>
    <w:rsid w:val="00165EB0"/>
    <w:rsid w:val="001671D5"/>
    <w:rsid w:val="0016742A"/>
    <w:rsid w:val="001702C8"/>
    <w:rsid w:val="0017041B"/>
    <w:rsid w:val="00170529"/>
    <w:rsid w:val="00170957"/>
    <w:rsid w:val="00170E3F"/>
    <w:rsid w:val="001713BB"/>
    <w:rsid w:val="00171416"/>
    <w:rsid w:val="001744EA"/>
    <w:rsid w:val="001754C6"/>
    <w:rsid w:val="001806F8"/>
    <w:rsid w:val="00180B8A"/>
    <w:rsid w:val="001823FD"/>
    <w:rsid w:val="00182747"/>
    <w:rsid w:val="00182B0A"/>
    <w:rsid w:val="00183067"/>
    <w:rsid w:val="001832C9"/>
    <w:rsid w:val="00184021"/>
    <w:rsid w:val="0018476A"/>
    <w:rsid w:val="00184B66"/>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4BC4"/>
    <w:rsid w:val="00195591"/>
    <w:rsid w:val="00195BA1"/>
    <w:rsid w:val="001966FF"/>
    <w:rsid w:val="00196930"/>
    <w:rsid w:val="00197269"/>
    <w:rsid w:val="00197F58"/>
    <w:rsid w:val="001A0128"/>
    <w:rsid w:val="001A12C6"/>
    <w:rsid w:val="001A2C2F"/>
    <w:rsid w:val="001A2DCB"/>
    <w:rsid w:val="001A2DD1"/>
    <w:rsid w:val="001A33BD"/>
    <w:rsid w:val="001A4166"/>
    <w:rsid w:val="001A58D9"/>
    <w:rsid w:val="001A6378"/>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547"/>
    <w:rsid w:val="001C76AE"/>
    <w:rsid w:val="001C77BA"/>
    <w:rsid w:val="001D1169"/>
    <w:rsid w:val="001D2F32"/>
    <w:rsid w:val="001D3742"/>
    <w:rsid w:val="001D3C48"/>
    <w:rsid w:val="001D3DA5"/>
    <w:rsid w:val="001D57B5"/>
    <w:rsid w:val="001D69D1"/>
    <w:rsid w:val="001D7887"/>
    <w:rsid w:val="001D7B5D"/>
    <w:rsid w:val="001E0B37"/>
    <w:rsid w:val="001E1155"/>
    <w:rsid w:val="001E22B6"/>
    <w:rsid w:val="001E2746"/>
    <w:rsid w:val="001E28E9"/>
    <w:rsid w:val="001E2A74"/>
    <w:rsid w:val="001E34A5"/>
    <w:rsid w:val="001E57E9"/>
    <w:rsid w:val="001E6173"/>
    <w:rsid w:val="001E6404"/>
    <w:rsid w:val="001E7FE9"/>
    <w:rsid w:val="001F0657"/>
    <w:rsid w:val="001F08AF"/>
    <w:rsid w:val="001F1959"/>
    <w:rsid w:val="001F2A46"/>
    <w:rsid w:val="001F3376"/>
    <w:rsid w:val="001F33A1"/>
    <w:rsid w:val="001F3E5B"/>
    <w:rsid w:val="002017CF"/>
    <w:rsid w:val="002025D0"/>
    <w:rsid w:val="0020344F"/>
    <w:rsid w:val="00203677"/>
    <w:rsid w:val="00205DAD"/>
    <w:rsid w:val="00212AB2"/>
    <w:rsid w:val="00213206"/>
    <w:rsid w:val="00213434"/>
    <w:rsid w:val="00213DEE"/>
    <w:rsid w:val="00214126"/>
    <w:rsid w:val="00214367"/>
    <w:rsid w:val="00215B86"/>
    <w:rsid w:val="00220326"/>
    <w:rsid w:val="0022082E"/>
    <w:rsid w:val="00220DA8"/>
    <w:rsid w:val="00221A42"/>
    <w:rsid w:val="00221B43"/>
    <w:rsid w:val="00222AA7"/>
    <w:rsid w:val="00223EA8"/>
    <w:rsid w:val="0022464C"/>
    <w:rsid w:val="00226B41"/>
    <w:rsid w:val="002327A2"/>
    <w:rsid w:val="00232F8E"/>
    <w:rsid w:val="00234DE7"/>
    <w:rsid w:val="00235CF7"/>
    <w:rsid w:val="0023663F"/>
    <w:rsid w:val="002413CA"/>
    <w:rsid w:val="00241A91"/>
    <w:rsid w:val="00242B17"/>
    <w:rsid w:val="00244004"/>
    <w:rsid w:val="0024402E"/>
    <w:rsid w:val="00244AB2"/>
    <w:rsid w:val="0024512C"/>
    <w:rsid w:val="00245527"/>
    <w:rsid w:val="00246F8E"/>
    <w:rsid w:val="00247B61"/>
    <w:rsid w:val="00250BA2"/>
    <w:rsid w:val="00251AD5"/>
    <w:rsid w:val="00252142"/>
    <w:rsid w:val="00252769"/>
    <w:rsid w:val="00252D5B"/>
    <w:rsid w:val="00256A53"/>
    <w:rsid w:val="002601B9"/>
    <w:rsid w:val="00260C57"/>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14A7"/>
    <w:rsid w:val="00293315"/>
    <w:rsid w:val="0029513A"/>
    <w:rsid w:val="00295858"/>
    <w:rsid w:val="00296398"/>
    <w:rsid w:val="002A00C3"/>
    <w:rsid w:val="002A1224"/>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4B19"/>
    <w:rsid w:val="002C0149"/>
    <w:rsid w:val="002C02D3"/>
    <w:rsid w:val="002C0832"/>
    <w:rsid w:val="002C0F81"/>
    <w:rsid w:val="002C1269"/>
    <w:rsid w:val="002C265D"/>
    <w:rsid w:val="002C36E5"/>
    <w:rsid w:val="002C4112"/>
    <w:rsid w:val="002C427B"/>
    <w:rsid w:val="002C652E"/>
    <w:rsid w:val="002C69C9"/>
    <w:rsid w:val="002D039B"/>
    <w:rsid w:val="002D1970"/>
    <w:rsid w:val="002D44D3"/>
    <w:rsid w:val="002D499C"/>
    <w:rsid w:val="002D5361"/>
    <w:rsid w:val="002D6158"/>
    <w:rsid w:val="002E1648"/>
    <w:rsid w:val="002E308F"/>
    <w:rsid w:val="002E48E2"/>
    <w:rsid w:val="002E58ED"/>
    <w:rsid w:val="002E789B"/>
    <w:rsid w:val="002F3A9A"/>
    <w:rsid w:val="002F43AF"/>
    <w:rsid w:val="002F4DC4"/>
    <w:rsid w:val="002F5287"/>
    <w:rsid w:val="002F55CE"/>
    <w:rsid w:val="002F565F"/>
    <w:rsid w:val="002F712A"/>
    <w:rsid w:val="00300B08"/>
    <w:rsid w:val="00301779"/>
    <w:rsid w:val="0030411A"/>
    <w:rsid w:val="00305C14"/>
    <w:rsid w:val="003107A7"/>
    <w:rsid w:val="00310975"/>
    <w:rsid w:val="00311F54"/>
    <w:rsid w:val="003126CB"/>
    <w:rsid w:val="00312E2D"/>
    <w:rsid w:val="003133DA"/>
    <w:rsid w:val="003143E2"/>
    <w:rsid w:val="00314A98"/>
    <w:rsid w:val="00315732"/>
    <w:rsid w:val="0031613F"/>
    <w:rsid w:val="00316B14"/>
    <w:rsid w:val="00316C9A"/>
    <w:rsid w:val="00317CAA"/>
    <w:rsid w:val="00320511"/>
    <w:rsid w:val="00321EEF"/>
    <w:rsid w:val="00322CCA"/>
    <w:rsid w:val="003238A9"/>
    <w:rsid w:val="0032656C"/>
    <w:rsid w:val="00330582"/>
    <w:rsid w:val="00331183"/>
    <w:rsid w:val="00331A48"/>
    <w:rsid w:val="003327F2"/>
    <w:rsid w:val="00333BBC"/>
    <w:rsid w:val="003349CD"/>
    <w:rsid w:val="00334D5E"/>
    <w:rsid w:val="00335A41"/>
    <w:rsid w:val="00335DC4"/>
    <w:rsid w:val="003363D4"/>
    <w:rsid w:val="00336D99"/>
    <w:rsid w:val="00337AF6"/>
    <w:rsid w:val="00340066"/>
    <w:rsid w:val="00340165"/>
    <w:rsid w:val="00340AD4"/>
    <w:rsid w:val="00341C96"/>
    <w:rsid w:val="00341E96"/>
    <w:rsid w:val="003421B0"/>
    <w:rsid w:val="0034316E"/>
    <w:rsid w:val="00345413"/>
    <w:rsid w:val="0034785C"/>
    <w:rsid w:val="003525D6"/>
    <w:rsid w:val="00352A60"/>
    <w:rsid w:val="00352D7B"/>
    <w:rsid w:val="003533A3"/>
    <w:rsid w:val="00353A88"/>
    <w:rsid w:val="003541AF"/>
    <w:rsid w:val="00354454"/>
    <w:rsid w:val="00354CBD"/>
    <w:rsid w:val="00355C22"/>
    <w:rsid w:val="00356625"/>
    <w:rsid w:val="0035675D"/>
    <w:rsid w:val="003600A8"/>
    <w:rsid w:val="00367F43"/>
    <w:rsid w:val="00367FC5"/>
    <w:rsid w:val="0037015F"/>
    <w:rsid w:val="00370EEF"/>
    <w:rsid w:val="0037168C"/>
    <w:rsid w:val="00371870"/>
    <w:rsid w:val="00371B0B"/>
    <w:rsid w:val="00372A13"/>
    <w:rsid w:val="00373261"/>
    <w:rsid w:val="00373599"/>
    <w:rsid w:val="003738F0"/>
    <w:rsid w:val="00374534"/>
    <w:rsid w:val="00374575"/>
    <w:rsid w:val="00375EB6"/>
    <w:rsid w:val="0037613B"/>
    <w:rsid w:val="003761F1"/>
    <w:rsid w:val="003769B5"/>
    <w:rsid w:val="00377F06"/>
    <w:rsid w:val="003802D1"/>
    <w:rsid w:val="0038105E"/>
    <w:rsid w:val="00381B1F"/>
    <w:rsid w:val="00381F9E"/>
    <w:rsid w:val="00382EDF"/>
    <w:rsid w:val="003835AA"/>
    <w:rsid w:val="0038468A"/>
    <w:rsid w:val="003856E8"/>
    <w:rsid w:val="00386B3D"/>
    <w:rsid w:val="00386C0E"/>
    <w:rsid w:val="00387E52"/>
    <w:rsid w:val="00390644"/>
    <w:rsid w:val="0039107D"/>
    <w:rsid w:val="00392B81"/>
    <w:rsid w:val="00394360"/>
    <w:rsid w:val="0039528D"/>
    <w:rsid w:val="00396605"/>
    <w:rsid w:val="003977E0"/>
    <w:rsid w:val="003A1305"/>
    <w:rsid w:val="003A1D5D"/>
    <w:rsid w:val="003A23C4"/>
    <w:rsid w:val="003A2AAC"/>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7F8"/>
    <w:rsid w:val="003B6D7B"/>
    <w:rsid w:val="003B7A94"/>
    <w:rsid w:val="003C0CE6"/>
    <w:rsid w:val="003C12E8"/>
    <w:rsid w:val="003C1FED"/>
    <w:rsid w:val="003C2604"/>
    <w:rsid w:val="003C3102"/>
    <w:rsid w:val="003C4E9D"/>
    <w:rsid w:val="003C543D"/>
    <w:rsid w:val="003C544E"/>
    <w:rsid w:val="003C5D23"/>
    <w:rsid w:val="003C66B4"/>
    <w:rsid w:val="003C7889"/>
    <w:rsid w:val="003C7D5B"/>
    <w:rsid w:val="003D0607"/>
    <w:rsid w:val="003D0B8D"/>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6C47"/>
    <w:rsid w:val="003F74CD"/>
    <w:rsid w:val="003F7FEF"/>
    <w:rsid w:val="00401382"/>
    <w:rsid w:val="00401817"/>
    <w:rsid w:val="004022C2"/>
    <w:rsid w:val="00406298"/>
    <w:rsid w:val="0040634E"/>
    <w:rsid w:val="0040644C"/>
    <w:rsid w:val="004067A6"/>
    <w:rsid w:val="00407817"/>
    <w:rsid w:val="00412090"/>
    <w:rsid w:val="00413E54"/>
    <w:rsid w:val="00414B9C"/>
    <w:rsid w:val="00415EE9"/>
    <w:rsid w:val="00416095"/>
    <w:rsid w:val="0042095D"/>
    <w:rsid w:val="004213DC"/>
    <w:rsid w:val="00421BE2"/>
    <w:rsid w:val="004233B4"/>
    <w:rsid w:val="004242C5"/>
    <w:rsid w:val="004242D0"/>
    <w:rsid w:val="004265B6"/>
    <w:rsid w:val="004267E4"/>
    <w:rsid w:val="00426A92"/>
    <w:rsid w:val="00426DF6"/>
    <w:rsid w:val="00426E6D"/>
    <w:rsid w:val="004272DB"/>
    <w:rsid w:val="00427466"/>
    <w:rsid w:val="004277EE"/>
    <w:rsid w:val="004303A9"/>
    <w:rsid w:val="00431015"/>
    <w:rsid w:val="00431D51"/>
    <w:rsid w:val="004322A5"/>
    <w:rsid w:val="004322E8"/>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2514"/>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4956"/>
    <w:rsid w:val="00484EAC"/>
    <w:rsid w:val="00486900"/>
    <w:rsid w:val="004903C0"/>
    <w:rsid w:val="00490717"/>
    <w:rsid w:val="00490A26"/>
    <w:rsid w:val="00491D27"/>
    <w:rsid w:val="0049427C"/>
    <w:rsid w:val="00494BF3"/>
    <w:rsid w:val="0049726A"/>
    <w:rsid w:val="00497FF7"/>
    <w:rsid w:val="004A3FD4"/>
    <w:rsid w:val="004A46F5"/>
    <w:rsid w:val="004A474F"/>
    <w:rsid w:val="004A785D"/>
    <w:rsid w:val="004A7A0D"/>
    <w:rsid w:val="004B16B8"/>
    <w:rsid w:val="004B219C"/>
    <w:rsid w:val="004B21DF"/>
    <w:rsid w:val="004B27D8"/>
    <w:rsid w:val="004B3F79"/>
    <w:rsid w:val="004B4A07"/>
    <w:rsid w:val="004B6E67"/>
    <w:rsid w:val="004C0508"/>
    <w:rsid w:val="004C06A9"/>
    <w:rsid w:val="004C07E3"/>
    <w:rsid w:val="004C2225"/>
    <w:rsid w:val="004C3B4A"/>
    <w:rsid w:val="004C4ACF"/>
    <w:rsid w:val="004C4E49"/>
    <w:rsid w:val="004C518C"/>
    <w:rsid w:val="004C65A3"/>
    <w:rsid w:val="004C675F"/>
    <w:rsid w:val="004C74E5"/>
    <w:rsid w:val="004D2860"/>
    <w:rsid w:val="004D3103"/>
    <w:rsid w:val="004D3264"/>
    <w:rsid w:val="004D3481"/>
    <w:rsid w:val="004D52CF"/>
    <w:rsid w:val="004D54C7"/>
    <w:rsid w:val="004D5F4A"/>
    <w:rsid w:val="004D6591"/>
    <w:rsid w:val="004D7FC9"/>
    <w:rsid w:val="004E12DD"/>
    <w:rsid w:val="004E238B"/>
    <w:rsid w:val="004E241D"/>
    <w:rsid w:val="004E3571"/>
    <w:rsid w:val="004E47DE"/>
    <w:rsid w:val="004E4F4C"/>
    <w:rsid w:val="004E53E3"/>
    <w:rsid w:val="004E6B8D"/>
    <w:rsid w:val="004E6F92"/>
    <w:rsid w:val="004E7AC4"/>
    <w:rsid w:val="004E7C4A"/>
    <w:rsid w:val="004F3F04"/>
    <w:rsid w:val="004F4796"/>
    <w:rsid w:val="004F4842"/>
    <w:rsid w:val="004F4BFF"/>
    <w:rsid w:val="004F5638"/>
    <w:rsid w:val="004F5AB1"/>
    <w:rsid w:val="004F6224"/>
    <w:rsid w:val="004F6ECF"/>
    <w:rsid w:val="004F7E97"/>
    <w:rsid w:val="00500E2C"/>
    <w:rsid w:val="0050153C"/>
    <w:rsid w:val="00503145"/>
    <w:rsid w:val="00503329"/>
    <w:rsid w:val="0050424B"/>
    <w:rsid w:val="00504D5B"/>
    <w:rsid w:val="005054EF"/>
    <w:rsid w:val="00506C43"/>
    <w:rsid w:val="005070AD"/>
    <w:rsid w:val="0050713A"/>
    <w:rsid w:val="00507251"/>
    <w:rsid w:val="00510990"/>
    <w:rsid w:val="005136AB"/>
    <w:rsid w:val="00513E41"/>
    <w:rsid w:val="005174CF"/>
    <w:rsid w:val="00517852"/>
    <w:rsid w:val="005179EA"/>
    <w:rsid w:val="00521351"/>
    <w:rsid w:val="00521C19"/>
    <w:rsid w:val="00523149"/>
    <w:rsid w:val="005238D5"/>
    <w:rsid w:val="00523FAC"/>
    <w:rsid w:val="005248E5"/>
    <w:rsid w:val="0052559B"/>
    <w:rsid w:val="00532212"/>
    <w:rsid w:val="005331E2"/>
    <w:rsid w:val="00534D59"/>
    <w:rsid w:val="00537584"/>
    <w:rsid w:val="005401C3"/>
    <w:rsid w:val="00540EBB"/>
    <w:rsid w:val="00542857"/>
    <w:rsid w:val="0054291F"/>
    <w:rsid w:val="00542C87"/>
    <w:rsid w:val="00543928"/>
    <w:rsid w:val="00546AC8"/>
    <w:rsid w:val="0055018D"/>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18BF"/>
    <w:rsid w:val="0057237B"/>
    <w:rsid w:val="00572ACA"/>
    <w:rsid w:val="005746B9"/>
    <w:rsid w:val="00574AF2"/>
    <w:rsid w:val="00575BDB"/>
    <w:rsid w:val="005764CE"/>
    <w:rsid w:val="00576AAB"/>
    <w:rsid w:val="0058049B"/>
    <w:rsid w:val="00581E8E"/>
    <w:rsid w:val="0058242A"/>
    <w:rsid w:val="00583B59"/>
    <w:rsid w:val="0058409A"/>
    <w:rsid w:val="0058443D"/>
    <w:rsid w:val="0058469D"/>
    <w:rsid w:val="00585363"/>
    <w:rsid w:val="0058631D"/>
    <w:rsid w:val="00591C2E"/>
    <w:rsid w:val="00591D85"/>
    <w:rsid w:val="005925E8"/>
    <w:rsid w:val="005939BF"/>
    <w:rsid w:val="0059489A"/>
    <w:rsid w:val="00594A70"/>
    <w:rsid w:val="00595F5F"/>
    <w:rsid w:val="005977FC"/>
    <w:rsid w:val="00597ABD"/>
    <w:rsid w:val="00597EF3"/>
    <w:rsid w:val="005A0C2A"/>
    <w:rsid w:val="005A2368"/>
    <w:rsid w:val="005A2441"/>
    <w:rsid w:val="005A35E7"/>
    <w:rsid w:val="005A3E1D"/>
    <w:rsid w:val="005A42B3"/>
    <w:rsid w:val="005A4860"/>
    <w:rsid w:val="005A566F"/>
    <w:rsid w:val="005B0C02"/>
    <w:rsid w:val="005B3AB0"/>
    <w:rsid w:val="005B3F84"/>
    <w:rsid w:val="005B465A"/>
    <w:rsid w:val="005B4A80"/>
    <w:rsid w:val="005B4AB0"/>
    <w:rsid w:val="005B50C6"/>
    <w:rsid w:val="005B5337"/>
    <w:rsid w:val="005B7FEC"/>
    <w:rsid w:val="005C0130"/>
    <w:rsid w:val="005C09A8"/>
    <w:rsid w:val="005C124D"/>
    <w:rsid w:val="005C2AD2"/>
    <w:rsid w:val="005C3C0F"/>
    <w:rsid w:val="005C40F5"/>
    <w:rsid w:val="005C423B"/>
    <w:rsid w:val="005C4411"/>
    <w:rsid w:val="005C52BE"/>
    <w:rsid w:val="005C636B"/>
    <w:rsid w:val="005C6933"/>
    <w:rsid w:val="005C7A5B"/>
    <w:rsid w:val="005D049C"/>
    <w:rsid w:val="005D0C18"/>
    <w:rsid w:val="005D1282"/>
    <w:rsid w:val="005D13F3"/>
    <w:rsid w:val="005D1C4E"/>
    <w:rsid w:val="005D2283"/>
    <w:rsid w:val="005D278E"/>
    <w:rsid w:val="005D2CEF"/>
    <w:rsid w:val="005D3E2A"/>
    <w:rsid w:val="005D4155"/>
    <w:rsid w:val="005D5099"/>
    <w:rsid w:val="005D56DA"/>
    <w:rsid w:val="005D5F47"/>
    <w:rsid w:val="005D5FBF"/>
    <w:rsid w:val="005D6166"/>
    <w:rsid w:val="005D71EC"/>
    <w:rsid w:val="005E2271"/>
    <w:rsid w:val="005E245A"/>
    <w:rsid w:val="005E2C9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4D4A"/>
    <w:rsid w:val="006150A8"/>
    <w:rsid w:val="0061545F"/>
    <w:rsid w:val="00616C80"/>
    <w:rsid w:val="00617806"/>
    <w:rsid w:val="00620363"/>
    <w:rsid w:val="006214D4"/>
    <w:rsid w:val="006222E1"/>
    <w:rsid w:val="006231AE"/>
    <w:rsid w:val="0062329C"/>
    <w:rsid w:val="00623474"/>
    <w:rsid w:val="00623627"/>
    <w:rsid w:val="0062370A"/>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8F1"/>
    <w:rsid w:val="006437FF"/>
    <w:rsid w:val="00643CDE"/>
    <w:rsid w:val="00644F94"/>
    <w:rsid w:val="006474AB"/>
    <w:rsid w:val="00647DAE"/>
    <w:rsid w:val="006501E0"/>
    <w:rsid w:val="00650819"/>
    <w:rsid w:val="00650DF4"/>
    <w:rsid w:val="00651CC4"/>
    <w:rsid w:val="006527DF"/>
    <w:rsid w:val="006539E1"/>
    <w:rsid w:val="00653F9B"/>
    <w:rsid w:val="006562B1"/>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6CCC"/>
    <w:rsid w:val="006972C3"/>
    <w:rsid w:val="00697B6D"/>
    <w:rsid w:val="006A0F6C"/>
    <w:rsid w:val="006A109C"/>
    <w:rsid w:val="006A31AF"/>
    <w:rsid w:val="006A44DF"/>
    <w:rsid w:val="006A4752"/>
    <w:rsid w:val="006A4762"/>
    <w:rsid w:val="006A554A"/>
    <w:rsid w:val="006A5C82"/>
    <w:rsid w:val="006A7AAB"/>
    <w:rsid w:val="006B118F"/>
    <w:rsid w:val="006B1E9A"/>
    <w:rsid w:val="006B2583"/>
    <w:rsid w:val="006B28AB"/>
    <w:rsid w:val="006B29B2"/>
    <w:rsid w:val="006B33AE"/>
    <w:rsid w:val="006B4518"/>
    <w:rsid w:val="006B4D16"/>
    <w:rsid w:val="006B4E87"/>
    <w:rsid w:val="006B69CF"/>
    <w:rsid w:val="006B711D"/>
    <w:rsid w:val="006B7887"/>
    <w:rsid w:val="006C0B00"/>
    <w:rsid w:val="006C15F7"/>
    <w:rsid w:val="006C2268"/>
    <w:rsid w:val="006C4D6A"/>
    <w:rsid w:val="006C57BA"/>
    <w:rsid w:val="006C597B"/>
    <w:rsid w:val="006C6620"/>
    <w:rsid w:val="006C69EE"/>
    <w:rsid w:val="006C6F22"/>
    <w:rsid w:val="006C776C"/>
    <w:rsid w:val="006C79BB"/>
    <w:rsid w:val="006C7DFF"/>
    <w:rsid w:val="006D0708"/>
    <w:rsid w:val="006D1655"/>
    <w:rsid w:val="006D1804"/>
    <w:rsid w:val="006D240C"/>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0964"/>
    <w:rsid w:val="006F190E"/>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626C"/>
    <w:rsid w:val="00706C09"/>
    <w:rsid w:val="00706F1E"/>
    <w:rsid w:val="007104F7"/>
    <w:rsid w:val="00711529"/>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174"/>
    <w:rsid w:val="00726889"/>
    <w:rsid w:val="00727ADF"/>
    <w:rsid w:val="007303A5"/>
    <w:rsid w:val="00730938"/>
    <w:rsid w:val="0073148A"/>
    <w:rsid w:val="0073176C"/>
    <w:rsid w:val="007317B6"/>
    <w:rsid w:val="00731E59"/>
    <w:rsid w:val="00733C81"/>
    <w:rsid w:val="007344CE"/>
    <w:rsid w:val="007344D8"/>
    <w:rsid w:val="0073634C"/>
    <w:rsid w:val="00736607"/>
    <w:rsid w:val="00736EBD"/>
    <w:rsid w:val="0073741E"/>
    <w:rsid w:val="007379F1"/>
    <w:rsid w:val="00737A0A"/>
    <w:rsid w:val="0074012C"/>
    <w:rsid w:val="0074077F"/>
    <w:rsid w:val="00740CEB"/>
    <w:rsid w:val="00741B8D"/>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6F8A"/>
    <w:rsid w:val="007674EB"/>
    <w:rsid w:val="00767D6D"/>
    <w:rsid w:val="00770316"/>
    <w:rsid w:val="007729BE"/>
    <w:rsid w:val="00772BDC"/>
    <w:rsid w:val="00772FEA"/>
    <w:rsid w:val="007744C2"/>
    <w:rsid w:val="00775A54"/>
    <w:rsid w:val="00775B91"/>
    <w:rsid w:val="00776267"/>
    <w:rsid w:val="007771C5"/>
    <w:rsid w:val="00780173"/>
    <w:rsid w:val="007810A2"/>
    <w:rsid w:val="007839B3"/>
    <w:rsid w:val="00785637"/>
    <w:rsid w:val="007870FB"/>
    <w:rsid w:val="007877B6"/>
    <w:rsid w:val="00787E86"/>
    <w:rsid w:val="007922BE"/>
    <w:rsid w:val="007927AE"/>
    <w:rsid w:val="00792F6B"/>
    <w:rsid w:val="00794459"/>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3DD"/>
    <w:rsid w:val="007D3B28"/>
    <w:rsid w:val="007D5FF2"/>
    <w:rsid w:val="007D6797"/>
    <w:rsid w:val="007D6ACE"/>
    <w:rsid w:val="007D7137"/>
    <w:rsid w:val="007E0E4A"/>
    <w:rsid w:val="007E1358"/>
    <w:rsid w:val="007E1449"/>
    <w:rsid w:val="007E1D42"/>
    <w:rsid w:val="007E26F1"/>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18BB"/>
    <w:rsid w:val="008324D5"/>
    <w:rsid w:val="00832ACB"/>
    <w:rsid w:val="00832CDA"/>
    <w:rsid w:val="00834F4B"/>
    <w:rsid w:val="0083565E"/>
    <w:rsid w:val="00835969"/>
    <w:rsid w:val="00837507"/>
    <w:rsid w:val="00837915"/>
    <w:rsid w:val="00837AA9"/>
    <w:rsid w:val="00837DD0"/>
    <w:rsid w:val="00840838"/>
    <w:rsid w:val="008408FD"/>
    <w:rsid w:val="0084242F"/>
    <w:rsid w:val="0084299A"/>
    <w:rsid w:val="008441A9"/>
    <w:rsid w:val="00845122"/>
    <w:rsid w:val="008458F7"/>
    <w:rsid w:val="00850226"/>
    <w:rsid w:val="00850C48"/>
    <w:rsid w:val="00851D29"/>
    <w:rsid w:val="008528CC"/>
    <w:rsid w:val="00852D42"/>
    <w:rsid w:val="00853023"/>
    <w:rsid w:val="00853570"/>
    <w:rsid w:val="008538BB"/>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1A09"/>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3C4"/>
    <w:rsid w:val="00894BAB"/>
    <w:rsid w:val="00894DA5"/>
    <w:rsid w:val="008951F0"/>
    <w:rsid w:val="00896E3C"/>
    <w:rsid w:val="00896FDB"/>
    <w:rsid w:val="00897119"/>
    <w:rsid w:val="008A27C2"/>
    <w:rsid w:val="008A5DAA"/>
    <w:rsid w:val="008A6166"/>
    <w:rsid w:val="008A6DE7"/>
    <w:rsid w:val="008A7772"/>
    <w:rsid w:val="008A7D50"/>
    <w:rsid w:val="008B0223"/>
    <w:rsid w:val="008B0FC3"/>
    <w:rsid w:val="008B2027"/>
    <w:rsid w:val="008B22EE"/>
    <w:rsid w:val="008B2799"/>
    <w:rsid w:val="008B465D"/>
    <w:rsid w:val="008B6062"/>
    <w:rsid w:val="008B6858"/>
    <w:rsid w:val="008B7506"/>
    <w:rsid w:val="008B7BC1"/>
    <w:rsid w:val="008B7DCA"/>
    <w:rsid w:val="008C0460"/>
    <w:rsid w:val="008C096E"/>
    <w:rsid w:val="008C09CC"/>
    <w:rsid w:val="008C0FBD"/>
    <w:rsid w:val="008C1E1E"/>
    <w:rsid w:val="008C1E4D"/>
    <w:rsid w:val="008C1F66"/>
    <w:rsid w:val="008C2429"/>
    <w:rsid w:val="008C3577"/>
    <w:rsid w:val="008C53F8"/>
    <w:rsid w:val="008C5913"/>
    <w:rsid w:val="008C5A1B"/>
    <w:rsid w:val="008C62E5"/>
    <w:rsid w:val="008C7CB8"/>
    <w:rsid w:val="008D0296"/>
    <w:rsid w:val="008D06BE"/>
    <w:rsid w:val="008D15B5"/>
    <w:rsid w:val="008D1D93"/>
    <w:rsid w:val="008D2658"/>
    <w:rsid w:val="008D315D"/>
    <w:rsid w:val="008D3DF9"/>
    <w:rsid w:val="008D4938"/>
    <w:rsid w:val="008D54BE"/>
    <w:rsid w:val="008D565D"/>
    <w:rsid w:val="008D5D3E"/>
    <w:rsid w:val="008D5D71"/>
    <w:rsid w:val="008D5F50"/>
    <w:rsid w:val="008D6535"/>
    <w:rsid w:val="008D6A9B"/>
    <w:rsid w:val="008D7250"/>
    <w:rsid w:val="008D7C58"/>
    <w:rsid w:val="008E0327"/>
    <w:rsid w:val="008E224F"/>
    <w:rsid w:val="008E39F5"/>
    <w:rsid w:val="008E435F"/>
    <w:rsid w:val="008E47BC"/>
    <w:rsid w:val="008E5000"/>
    <w:rsid w:val="008E60F5"/>
    <w:rsid w:val="008E6647"/>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A82"/>
    <w:rsid w:val="00914596"/>
    <w:rsid w:val="00915902"/>
    <w:rsid w:val="00916714"/>
    <w:rsid w:val="00917115"/>
    <w:rsid w:val="00917CF1"/>
    <w:rsid w:val="00920D0B"/>
    <w:rsid w:val="009214E5"/>
    <w:rsid w:val="00922878"/>
    <w:rsid w:val="00924271"/>
    <w:rsid w:val="009242D9"/>
    <w:rsid w:val="0092444F"/>
    <w:rsid w:val="009248C3"/>
    <w:rsid w:val="009275F8"/>
    <w:rsid w:val="0093085F"/>
    <w:rsid w:val="0093112A"/>
    <w:rsid w:val="009321FE"/>
    <w:rsid w:val="00934279"/>
    <w:rsid w:val="00942462"/>
    <w:rsid w:val="009428A3"/>
    <w:rsid w:val="00942EDF"/>
    <w:rsid w:val="009440B4"/>
    <w:rsid w:val="0094458E"/>
    <w:rsid w:val="00944A2A"/>
    <w:rsid w:val="00945B6D"/>
    <w:rsid w:val="00946640"/>
    <w:rsid w:val="00954558"/>
    <w:rsid w:val="009560B9"/>
    <w:rsid w:val="00956F14"/>
    <w:rsid w:val="009572CC"/>
    <w:rsid w:val="009600F6"/>
    <w:rsid w:val="00960EC7"/>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5EA5"/>
    <w:rsid w:val="009767FB"/>
    <w:rsid w:val="009768AC"/>
    <w:rsid w:val="009768E6"/>
    <w:rsid w:val="00976D33"/>
    <w:rsid w:val="00981E8E"/>
    <w:rsid w:val="00981F5D"/>
    <w:rsid w:val="0098268C"/>
    <w:rsid w:val="00983129"/>
    <w:rsid w:val="00983A22"/>
    <w:rsid w:val="00983FB8"/>
    <w:rsid w:val="009843FC"/>
    <w:rsid w:val="009849E9"/>
    <w:rsid w:val="00986D52"/>
    <w:rsid w:val="0099164D"/>
    <w:rsid w:val="00991FF1"/>
    <w:rsid w:val="0099272E"/>
    <w:rsid w:val="00992DBB"/>
    <w:rsid w:val="0099706A"/>
    <w:rsid w:val="00997819"/>
    <w:rsid w:val="00997C23"/>
    <w:rsid w:val="009A01E3"/>
    <w:rsid w:val="009A206D"/>
    <w:rsid w:val="009A2357"/>
    <w:rsid w:val="009A3ACB"/>
    <w:rsid w:val="009A4929"/>
    <w:rsid w:val="009A4A5F"/>
    <w:rsid w:val="009A5277"/>
    <w:rsid w:val="009A61A0"/>
    <w:rsid w:val="009A7E34"/>
    <w:rsid w:val="009B0962"/>
    <w:rsid w:val="009B2022"/>
    <w:rsid w:val="009B24D5"/>
    <w:rsid w:val="009B268D"/>
    <w:rsid w:val="009B3FC5"/>
    <w:rsid w:val="009B45D5"/>
    <w:rsid w:val="009B6420"/>
    <w:rsid w:val="009B6DA3"/>
    <w:rsid w:val="009B7543"/>
    <w:rsid w:val="009B7F76"/>
    <w:rsid w:val="009C0293"/>
    <w:rsid w:val="009C0744"/>
    <w:rsid w:val="009C0828"/>
    <w:rsid w:val="009C3526"/>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37CB"/>
    <w:rsid w:val="009E4C9B"/>
    <w:rsid w:val="009E79F0"/>
    <w:rsid w:val="009E7A84"/>
    <w:rsid w:val="009F04AD"/>
    <w:rsid w:val="009F1969"/>
    <w:rsid w:val="009F287A"/>
    <w:rsid w:val="009F7A1B"/>
    <w:rsid w:val="009F7A83"/>
    <w:rsid w:val="00A00CCD"/>
    <w:rsid w:val="00A01046"/>
    <w:rsid w:val="00A018E2"/>
    <w:rsid w:val="00A01BF4"/>
    <w:rsid w:val="00A02064"/>
    <w:rsid w:val="00A020E3"/>
    <w:rsid w:val="00A02283"/>
    <w:rsid w:val="00A0248F"/>
    <w:rsid w:val="00A028A5"/>
    <w:rsid w:val="00A035F1"/>
    <w:rsid w:val="00A03961"/>
    <w:rsid w:val="00A055B8"/>
    <w:rsid w:val="00A056E3"/>
    <w:rsid w:val="00A06684"/>
    <w:rsid w:val="00A06A26"/>
    <w:rsid w:val="00A06CAC"/>
    <w:rsid w:val="00A06F41"/>
    <w:rsid w:val="00A06F46"/>
    <w:rsid w:val="00A0751D"/>
    <w:rsid w:val="00A11CDE"/>
    <w:rsid w:val="00A201C8"/>
    <w:rsid w:val="00A21AAF"/>
    <w:rsid w:val="00A22863"/>
    <w:rsid w:val="00A22B75"/>
    <w:rsid w:val="00A2351E"/>
    <w:rsid w:val="00A2371E"/>
    <w:rsid w:val="00A24347"/>
    <w:rsid w:val="00A25AFA"/>
    <w:rsid w:val="00A26CBA"/>
    <w:rsid w:val="00A26E3F"/>
    <w:rsid w:val="00A31862"/>
    <w:rsid w:val="00A31869"/>
    <w:rsid w:val="00A31C7F"/>
    <w:rsid w:val="00A33947"/>
    <w:rsid w:val="00A3399D"/>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3628"/>
    <w:rsid w:val="00A5363C"/>
    <w:rsid w:val="00A53974"/>
    <w:rsid w:val="00A54AF7"/>
    <w:rsid w:val="00A563F6"/>
    <w:rsid w:val="00A567D8"/>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000"/>
    <w:rsid w:val="00A74806"/>
    <w:rsid w:val="00A75132"/>
    <w:rsid w:val="00A7582B"/>
    <w:rsid w:val="00A770F5"/>
    <w:rsid w:val="00A773E9"/>
    <w:rsid w:val="00A80BAE"/>
    <w:rsid w:val="00A81907"/>
    <w:rsid w:val="00A82014"/>
    <w:rsid w:val="00A8419E"/>
    <w:rsid w:val="00A85D83"/>
    <w:rsid w:val="00A8601C"/>
    <w:rsid w:val="00A86616"/>
    <w:rsid w:val="00A874D1"/>
    <w:rsid w:val="00A875FA"/>
    <w:rsid w:val="00A91155"/>
    <w:rsid w:val="00A915F9"/>
    <w:rsid w:val="00A92C6B"/>
    <w:rsid w:val="00A93FD0"/>
    <w:rsid w:val="00A95202"/>
    <w:rsid w:val="00A953DD"/>
    <w:rsid w:val="00A96A83"/>
    <w:rsid w:val="00A96FA4"/>
    <w:rsid w:val="00A97BFD"/>
    <w:rsid w:val="00AA0016"/>
    <w:rsid w:val="00AA055D"/>
    <w:rsid w:val="00AA1407"/>
    <w:rsid w:val="00AA314A"/>
    <w:rsid w:val="00AA3331"/>
    <w:rsid w:val="00AA3942"/>
    <w:rsid w:val="00AA52E5"/>
    <w:rsid w:val="00AA5911"/>
    <w:rsid w:val="00AA7624"/>
    <w:rsid w:val="00AB19F8"/>
    <w:rsid w:val="00AB2298"/>
    <w:rsid w:val="00AB2841"/>
    <w:rsid w:val="00AB2EE2"/>
    <w:rsid w:val="00AB3FC4"/>
    <w:rsid w:val="00AB4626"/>
    <w:rsid w:val="00AC23B9"/>
    <w:rsid w:val="00AC25B4"/>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AEC"/>
    <w:rsid w:val="00AE4C42"/>
    <w:rsid w:val="00AE52AF"/>
    <w:rsid w:val="00AE53DA"/>
    <w:rsid w:val="00AE6334"/>
    <w:rsid w:val="00AE692E"/>
    <w:rsid w:val="00AE6BDB"/>
    <w:rsid w:val="00AF00F9"/>
    <w:rsid w:val="00AF060B"/>
    <w:rsid w:val="00AF190F"/>
    <w:rsid w:val="00AF2210"/>
    <w:rsid w:val="00AF330A"/>
    <w:rsid w:val="00AF3F9D"/>
    <w:rsid w:val="00AF51EC"/>
    <w:rsid w:val="00AF5BD2"/>
    <w:rsid w:val="00AF74AB"/>
    <w:rsid w:val="00AF7CB1"/>
    <w:rsid w:val="00B00B2C"/>
    <w:rsid w:val="00B02F51"/>
    <w:rsid w:val="00B0311C"/>
    <w:rsid w:val="00B03296"/>
    <w:rsid w:val="00B03B24"/>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0B3"/>
    <w:rsid w:val="00B17BCA"/>
    <w:rsid w:val="00B22613"/>
    <w:rsid w:val="00B23EE6"/>
    <w:rsid w:val="00B248ED"/>
    <w:rsid w:val="00B25199"/>
    <w:rsid w:val="00B2560F"/>
    <w:rsid w:val="00B256B5"/>
    <w:rsid w:val="00B26358"/>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42D"/>
    <w:rsid w:val="00B436A2"/>
    <w:rsid w:val="00B43B92"/>
    <w:rsid w:val="00B4502C"/>
    <w:rsid w:val="00B4639C"/>
    <w:rsid w:val="00B46609"/>
    <w:rsid w:val="00B46C58"/>
    <w:rsid w:val="00B46FC5"/>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3CF"/>
    <w:rsid w:val="00B73A94"/>
    <w:rsid w:val="00B742B0"/>
    <w:rsid w:val="00B74A52"/>
    <w:rsid w:val="00B74AE4"/>
    <w:rsid w:val="00B74D4F"/>
    <w:rsid w:val="00B7544D"/>
    <w:rsid w:val="00B77485"/>
    <w:rsid w:val="00B7787C"/>
    <w:rsid w:val="00B8155C"/>
    <w:rsid w:val="00B83532"/>
    <w:rsid w:val="00B83BBF"/>
    <w:rsid w:val="00B85C81"/>
    <w:rsid w:val="00B86319"/>
    <w:rsid w:val="00B86634"/>
    <w:rsid w:val="00B86D50"/>
    <w:rsid w:val="00B9162E"/>
    <w:rsid w:val="00B918C6"/>
    <w:rsid w:val="00B91B2F"/>
    <w:rsid w:val="00B930CD"/>
    <w:rsid w:val="00B932A7"/>
    <w:rsid w:val="00B935AF"/>
    <w:rsid w:val="00B94433"/>
    <w:rsid w:val="00B95BAE"/>
    <w:rsid w:val="00BA04B2"/>
    <w:rsid w:val="00BA07C7"/>
    <w:rsid w:val="00BA0A54"/>
    <w:rsid w:val="00BA19C7"/>
    <w:rsid w:val="00BA1F3A"/>
    <w:rsid w:val="00BA3D94"/>
    <w:rsid w:val="00BA4474"/>
    <w:rsid w:val="00BA5187"/>
    <w:rsid w:val="00BB3138"/>
    <w:rsid w:val="00BB385B"/>
    <w:rsid w:val="00BB3CB2"/>
    <w:rsid w:val="00BB5C8B"/>
    <w:rsid w:val="00BB73BD"/>
    <w:rsid w:val="00BB7A25"/>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6EF"/>
    <w:rsid w:val="00BD4BB6"/>
    <w:rsid w:val="00BD53E1"/>
    <w:rsid w:val="00BD5E34"/>
    <w:rsid w:val="00BD7FF5"/>
    <w:rsid w:val="00BE05A5"/>
    <w:rsid w:val="00BE0EBD"/>
    <w:rsid w:val="00BE1584"/>
    <w:rsid w:val="00BE1962"/>
    <w:rsid w:val="00BE1B22"/>
    <w:rsid w:val="00BE1C0F"/>
    <w:rsid w:val="00BE5942"/>
    <w:rsid w:val="00BE71EE"/>
    <w:rsid w:val="00BE7DE1"/>
    <w:rsid w:val="00BF03D6"/>
    <w:rsid w:val="00BF22DF"/>
    <w:rsid w:val="00BF29A3"/>
    <w:rsid w:val="00BF4E96"/>
    <w:rsid w:val="00BF6A07"/>
    <w:rsid w:val="00C00CE0"/>
    <w:rsid w:val="00C021D7"/>
    <w:rsid w:val="00C03B89"/>
    <w:rsid w:val="00C06703"/>
    <w:rsid w:val="00C07327"/>
    <w:rsid w:val="00C07CD8"/>
    <w:rsid w:val="00C1210B"/>
    <w:rsid w:val="00C12254"/>
    <w:rsid w:val="00C1252C"/>
    <w:rsid w:val="00C12769"/>
    <w:rsid w:val="00C13257"/>
    <w:rsid w:val="00C145E4"/>
    <w:rsid w:val="00C14A8B"/>
    <w:rsid w:val="00C14BFB"/>
    <w:rsid w:val="00C167D5"/>
    <w:rsid w:val="00C16A60"/>
    <w:rsid w:val="00C17444"/>
    <w:rsid w:val="00C17586"/>
    <w:rsid w:val="00C175D3"/>
    <w:rsid w:val="00C1794A"/>
    <w:rsid w:val="00C20EF3"/>
    <w:rsid w:val="00C210F3"/>
    <w:rsid w:val="00C22048"/>
    <w:rsid w:val="00C22070"/>
    <w:rsid w:val="00C22097"/>
    <w:rsid w:val="00C22962"/>
    <w:rsid w:val="00C22BAC"/>
    <w:rsid w:val="00C24517"/>
    <w:rsid w:val="00C25152"/>
    <w:rsid w:val="00C255D2"/>
    <w:rsid w:val="00C2672F"/>
    <w:rsid w:val="00C26A01"/>
    <w:rsid w:val="00C27E19"/>
    <w:rsid w:val="00C31626"/>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4B77"/>
    <w:rsid w:val="00C45D7F"/>
    <w:rsid w:val="00C45E2B"/>
    <w:rsid w:val="00C5099C"/>
    <w:rsid w:val="00C5167B"/>
    <w:rsid w:val="00C52E3B"/>
    <w:rsid w:val="00C538E8"/>
    <w:rsid w:val="00C5443D"/>
    <w:rsid w:val="00C54F6A"/>
    <w:rsid w:val="00C57E5B"/>
    <w:rsid w:val="00C604CB"/>
    <w:rsid w:val="00C61AEE"/>
    <w:rsid w:val="00C63A0D"/>
    <w:rsid w:val="00C63E04"/>
    <w:rsid w:val="00C64670"/>
    <w:rsid w:val="00C65B76"/>
    <w:rsid w:val="00C65F60"/>
    <w:rsid w:val="00C668EB"/>
    <w:rsid w:val="00C674BC"/>
    <w:rsid w:val="00C70FB3"/>
    <w:rsid w:val="00C71A15"/>
    <w:rsid w:val="00C71F26"/>
    <w:rsid w:val="00C73454"/>
    <w:rsid w:val="00C73595"/>
    <w:rsid w:val="00C73925"/>
    <w:rsid w:val="00C74241"/>
    <w:rsid w:val="00C74C65"/>
    <w:rsid w:val="00C76AA4"/>
    <w:rsid w:val="00C82816"/>
    <w:rsid w:val="00C82885"/>
    <w:rsid w:val="00C82E16"/>
    <w:rsid w:val="00C83128"/>
    <w:rsid w:val="00C834F9"/>
    <w:rsid w:val="00C83A54"/>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9739E"/>
    <w:rsid w:val="00CA0164"/>
    <w:rsid w:val="00CA0438"/>
    <w:rsid w:val="00CA2014"/>
    <w:rsid w:val="00CA32AE"/>
    <w:rsid w:val="00CA3F12"/>
    <w:rsid w:val="00CA4BC8"/>
    <w:rsid w:val="00CA4E1A"/>
    <w:rsid w:val="00CA5A78"/>
    <w:rsid w:val="00CA5C99"/>
    <w:rsid w:val="00CA621B"/>
    <w:rsid w:val="00CA65AC"/>
    <w:rsid w:val="00CA726B"/>
    <w:rsid w:val="00CA7BB1"/>
    <w:rsid w:val="00CB17DD"/>
    <w:rsid w:val="00CB65FF"/>
    <w:rsid w:val="00CC1A91"/>
    <w:rsid w:val="00CC1C9A"/>
    <w:rsid w:val="00CC1FCC"/>
    <w:rsid w:val="00CC3B54"/>
    <w:rsid w:val="00CC410F"/>
    <w:rsid w:val="00CC797E"/>
    <w:rsid w:val="00CC7CD3"/>
    <w:rsid w:val="00CD04F0"/>
    <w:rsid w:val="00CD0F29"/>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1294"/>
    <w:rsid w:val="00CF2559"/>
    <w:rsid w:val="00CF2A64"/>
    <w:rsid w:val="00CF2B23"/>
    <w:rsid w:val="00CF30C0"/>
    <w:rsid w:val="00CF347B"/>
    <w:rsid w:val="00CF386D"/>
    <w:rsid w:val="00CF549B"/>
    <w:rsid w:val="00CF5748"/>
    <w:rsid w:val="00CF6255"/>
    <w:rsid w:val="00CF7A4C"/>
    <w:rsid w:val="00CF7C9A"/>
    <w:rsid w:val="00D00D4A"/>
    <w:rsid w:val="00D01324"/>
    <w:rsid w:val="00D01632"/>
    <w:rsid w:val="00D01ACB"/>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523C"/>
    <w:rsid w:val="00D25CDB"/>
    <w:rsid w:val="00D260D1"/>
    <w:rsid w:val="00D27326"/>
    <w:rsid w:val="00D27597"/>
    <w:rsid w:val="00D27822"/>
    <w:rsid w:val="00D301D8"/>
    <w:rsid w:val="00D31188"/>
    <w:rsid w:val="00D3360D"/>
    <w:rsid w:val="00D352F4"/>
    <w:rsid w:val="00D364B5"/>
    <w:rsid w:val="00D36B9B"/>
    <w:rsid w:val="00D36EB4"/>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54C1"/>
    <w:rsid w:val="00D5569A"/>
    <w:rsid w:val="00D55EED"/>
    <w:rsid w:val="00D57116"/>
    <w:rsid w:val="00D575CA"/>
    <w:rsid w:val="00D60658"/>
    <w:rsid w:val="00D60D36"/>
    <w:rsid w:val="00D61BA8"/>
    <w:rsid w:val="00D63C1E"/>
    <w:rsid w:val="00D64AB3"/>
    <w:rsid w:val="00D65324"/>
    <w:rsid w:val="00D65CBF"/>
    <w:rsid w:val="00D66A7D"/>
    <w:rsid w:val="00D66FB8"/>
    <w:rsid w:val="00D67FCF"/>
    <w:rsid w:val="00D713C3"/>
    <w:rsid w:val="00D71E67"/>
    <w:rsid w:val="00D72569"/>
    <w:rsid w:val="00D740F6"/>
    <w:rsid w:val="00D745F5"/>
    <w:rsid w:val="00D74C26"/>
    <w:rsid w:val="00D77712"/>
    <w:rsid w:val="00D77826"/>
    <w:rsid w:val="00D77C93"/>
    <w:rsid w:val="00D82306"/>
    <w:rsid w:val="00D825E7"/>
    <w:rsid w:val="00D82789"/>
    <w:rsid w:val="00D827A5"/>
    <w:rsid w:val="00D846D0"/>
    <w:rsid w:val="00D85587"/>
    <w:rsid w:val="00D85C8C"/>
    <w:rsid w:val="00D86A07"/>
    <w:rsid w:val="00D86D49"/>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4EBE"/>
    <w:rsid w:val="00DA5743"/>
    <w:rsid w:val="00DA7496"/>
    <w:rsid w:val="00DB04B3"/>
    <w:rsid w:val="00DB15DC"/>
    <w:rsid w:val="00DB2DDF"/>
    <w:rsid w:val="00DB3994"/>
    <w:rsid w:val="00DB5508"/>
    <w:rsid w:val="00DB5FD2"/>
    <w:rsid w:val="00DB6C26"/>
    <w:rsid w:val="00DC061A"/>
    <w:rsid w:val="00DC0CCA"/>
    <w:rsid w:val="00DC2B95"/>
    <w:rsid w:val="00DC3233"/>
    <w:rsid w:val="00DC3412"/>
    <w:rsid w:val="00DC3702"/>
    <w:rsid w:val="00DC37D9"/>
    <w:rsid w:val="00DC4071"/>
    <w:rsid w:val="00DC51F7"/>
    <w:rsid w:val="00DC561C"/>
    <w:rsid w:val="00DC5C71"/>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440"/>
    <w:rsid w:val="00DF17B5"/>
    <w:rsid w:val="00DF270B"/>
    <w:rsid w:val="00DF36AC"/>
    <w:rsid w:val="00DF52FD"/>
    <w:rsid w:val="00DF61B4"/>
    <w:rsid w:val="00DF637D"/>
    <w:rsid w:val="00DF6D64"/>
    <w:rsid w:val="00DF73F4"/>
    <w:rsid w:val="00E00117"/>
    <w:rsid w:val="00E00A43"/>
    <w:rsid w:val="00E01B16"/>
    <w:rsid w:val="00E02AC3"/>
    <w:rsid w:val="00E03004"/>
    <w:rsid w:val="00E03DE2"/>
    <w:rsid w:val="00E041E4"/>
    <w:rsid w:val="00E04EC4"/>
    <w:rsid w:val="00E051A8"/>
    <w:rsid w:val="00E06468"/>
    <w:rsid w:val="00E06980"/>
    <w:rsid w:val="00E1041F"/>
    <w:rsid w:val="00E12857"/>
    <w:rsid w:val="00E12CC9"/>
    <w:rsid w:val="00E12D70"/>
    <w:rsid w:val="00E161B8"/>
    <w:rsid w:val="00E17AAB"/>
    <w:rsid w:val="00E204EE"/>
    <w:rsid w:val="00E21B14"/>
    <w:rsid w:val="00E21D57"/>
    <w:rsid w:val="00E22DC8"/>
    <w:rsid w:val="00E24CFB"/>
    <w:rsid w:val="00E25295"/>
    <w:rsid w:val="00E26207"/>
    <w:rsid w:val="00E2631D"/>
    <w:rsid w:val="00E265EE"/>
    <w:rsid w:val="00E26E2E"/>
    <w:rsid w:val="00E27D59"/>
    <w:rsid w:val="00E30496"/>
    <w:rsid w:val="00E30E9A"/>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5FEF"/>
    <w:rsid w:val="00E46B6B"/>
    <w:rsid w:val="00E52190"/>
    <w:rsid w:val="00E545F2"/>
    <w:rsid w:val="00E54AEE"/>
    <w:rsid w:val="00E55C5B"/>
    <w:rsid w:val="00E56A1B"/>
    <w:rsid w:val="00E56DA0"/>
    <w:rsid w:val="00E61CEE"/>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D5D"/>
    <w:rsid w:val="00E80FB2"/>
    <w:rsid w:val="00E812CC"/>
    <w:rsid w:val="00E8148C"/>
    <w:rsid w:val="00E8180F"/>
    <w:rsid w:val="00E8222F"/>
    <w:rsid w:val="00E82444"/>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972"/>
    <w:rsid w:val="00EA1F1A"/>
    <w:rsid w:val="00EA3829"/>
    <w:rsid w:val="00EA536A"/>
    <w:rsid w:val="00EA5E41"/>
    <w:rsid w:val="00EA73AE"/>
    <w:rsid w:val="00EA7856"/>
    <w:rsid w:val="00EB0708"/>
    <w:rsid w:val="00EB206C"/>
    <w:rsid w:val="00EB21B4"/>
    <w:rsid w:val="00EB355D"/>
    <w:rsid w:val="00EB38B0"/>
    <w:rsid w:val="00EB39AC"/>
    <w:rsid w:val="00EB4632"/>
    <w:rsid w:val="00EB4782"/>
    <w:rsid w:val="00EB57C1"/>
    <w:rsid w:val="00EB5B7F"/>
    <w:rsid w:val="00EB5E80"/>
    <w:rsid w:val="00EB66C3"/>
    <w:rsid w:val="00EB6CD4"/>
    <w:rsid w:val="00EB7561"/>
    <w:rsid w:val="00EC09AC"/>
    <w:rsid w:val="00EC0A3B"/>
    <w:rsid w:val="00EC1320"/>
    <w:rsid w:val="00EC14BF"/>
    <w:rsid w:val="00EC17DD"/>
    <w:rsid w:val="00EC18C3"/>
    <w:rsid w:val="00EC1DA6"/>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28D6"/>
    <w:rsid w:val="00EF2D7E"/>
    <w:rsid w:val="00EF32D1"/>
    <w:rsid w:val="00EF36C4"/>
    <w:rsid w:val="00EF3BEE"/>
    <w:rsid w:val="00EF4501"/>
    <w:rsid w:val="00EF500B"/>
    <w:rsid w:val="00EF51A6"/>
    <w:rsid w:val="00EF5231"/>
    <w:rsid w:val="00EF5E3E"/>
    <w:rsid w:val="00EF6735"/>
    <w:rsid w:val="00EF740E"/>
    <w:rsid w:val="00F037F5"/>
    <w:rsid w:val="00F04DCF"/>
    <w:rsid w:val="00F04F9A"/>
    <w:rsid w:val="00F06EA2"/>
    <w:rsid w:val="00F106FE"/>
    <w:rsid w:val="00F10C10"/>
    <w:rsid w:val="00F149DA"/>
    <w:rsid w:val="00F14B50"/>
    <w:rsid w:val="00F158F4"/>
    <w:rsid w:val="00F16A94"/>
    <w:rsid w:val="00F1700F"/>
    <w:rsid w:val="00F174AB"/>
    <w:rsid w:val="00F2199B"/>
    <w:rsid w:val="00F23093"/>
    <w:rsid w:val="00F236EF"/>
    <w:rsid w:val="00F25565"/>
    <w:rsid w:val="00F25B47"/>
    <w:rsid w:val="00F27557"/>
    <w:rsid w:val="00F30444"/>
    <w:rsid w:val="00F31B92"/>
    <w:rsid w:val="00F31E9B"/>
    <w:rsid w:val="00F3347D"/>
    <w:rsid w:val="00F33C8B"/>
    <w:rsid w:val="00F34039"/>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363"/>
    <w:rsid w:val="00F708DA"/>
    <w:rsid w:val="00F720AE"/>
    <w:rsid w:val="00F7324D"/>
    <w:rsid w:val="00F7332C"/>
    <w:rsid w:val="00F737CB"/>
    <w:rsid w:val="00F73A60"/>
    <w:rsid w:val="00F73E22"/>
    <w:rsid w:val="00F73EDA"/>
    <w:rsid w:val="00F740DD"/>
    <w:rsid w:val="00F74774"/>
    <w:rsid w:val="00F74F75"/>
    <w:rsid w:val="00F77C33"/>
    <w:rsid w:val="00F8037C"/>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5F6C"/>
    <w:rsid w:val="00FA6051"/>
    <w:rsid w:val="00FA66ED"/>
    <w:rsid w:val="00FA6D65"/>
    <w:rsid w:val="00FB0EAC"/>
    <w:rsid w:val="00FB100C"/>
    <w:rsid w:val="00FB1590"/>
    <w:rsid w:val="00FB171C"/>
    <w:rsid w:val="00FB192A"/>
    <w:rsid w:val="00FB1A4E"/>
    <w:rsid w:val="00FB29AE"/>
    <w:rsid w:val="00FB3EBD"/>
    <w:rsid w:val="00FB615F"/>
    <w:rsid w:val="00FB76E9"/>
    <w:rsid w:val="00FC0A6B"/>
    <w:rsid w:val="00FC12B9"/>
    <w:rsid w:val="00FC1FAB"/>
    <w:rsid w:val="00FC1FAC"/>
    <w:rsid w:val="00FC2065"/>
    <w:rsid w:val="00FC2498"/>
    <w:rsid w:val="00FC26CC"/>
    <w:rsid w:val="00FC38EB"/>
    <w:rsid w:val="00FC6230"/>
    <w:rsid w:val="00FC6563"/>
    <w:rsid w:val="00FC726E"/>
    <w:rsid w:val="00FC76CF"/>
    <w:rsid w:val="00FD002F"/>
    <w:rsid w:val="00FD06FE"/>
    <w:rsid w:val="00FD0D2B"/>
    <w:rsid w:val="00FD1609"/>
    <w:rsid w:val="00FD16E2"/>
    <w:rsid w:val="00FD1A2F"/>
    <w:rsid w:val="00FD1FFE"/>
    <w:rsid w:val="00FD2191"/>
    <w:rsid w:val="00FD23F4"/>
    <w:rsid w:val="00FD25D7"/>
    <w:rsid w:val="00FD3EF1"/>
    <w:rsid w:val="00FD4531"/>
    <w:rsid w:val="00FD6658"/>
    <w:rsid w:val="00FD66DC"/>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234970289">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A6313-7D01-451B-97E9-C8D6C44749EF}">
  <ds:schemaRefs>
    <ds:schemaRef ds:uri="http://schemas.microsoft.com/office/2006/documentManagement/types"/>
    <ds:schemaRef ds:uri="http://www.w3.org/XML/1998/namespace"/>
    <ds:schemaRef ds:uri="http://purl.org/dc/dcmitype/"/>
    <ds:schemaRef ds:uri="801ee88d-fb52-43da-8c07-06909c2ee99a"/>
    <ds:schemaRef ds:uri="http://schemas.openxmlformats.org/package/2006/metadata/core-properties"/>
    <ds:schemaRef ds:uri="http://schemas.microsoft.com/office/infopath/2007/PartnerControls"/>
    <ds:schemaRef ds:uri="8bbba48b-ed70-4d4f-bc70-b74f508f6d15"/>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178B5D-FB91-4FFC-9FD6-AEEE4A707E45}">
  <ds:schemaRefs>
    <ds:schemaRef ds:uri="http://schemas.openxmlformats.org/officeDocument/2006/bibliography"/>
  </ds:schemaRefs>
</ds:datastoreItem>
</file>

<file path=customXml/itemProps4.xml><?xml version="1.0" encoding="utf-8"?>
<ds:datastoreItem xmlns:ds="http://schemas.openxmlformats.org/officeDocument/2006/customXml" ds:itemID="{FF309543-BF0F-46A5-B4F7-1A3347101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Retrofit: Energieeinsparung von 37 Prozent für esco</vt:lpstr>
    </vt:vector>
  </TitlesOfParts>
  <Company>Klug</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Rétrofit : Des économies d’énergie de 37 % pour esco</dc:title>
  <dc:subject/>
  <dc:creator>Tahedl Alexander</dc:creator>
  <cp:keywords>Rétrofit : Des économies d’énergie de 37 % pour esco</cp:keywords>
  <dc:description/>
  <cp:lastModifiedBy>Tahedl Alexander</cp:lastModifiedBy>
  <cp:revision>10</cp:revision>
  <cp:lastPrinted>2022-02-02T15:07:00Z</cp:lastPrinted>
  <dcterms:created xsi:type="dcterms:W3CDTF">2023-06-26T10:41:00Z</dcterms:created>
  <dcterms:modified xsi:type="dcterms:W3CDTF">2023-11-07T05:16:00Z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